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1C08" w14:textId="1035ADA9" w:rsidR="00205751" w:rsidRPr="006B4F6B" w:rsidRDefault="006B4F6B" w:rsidP="00542CAE">
      <w:pPr>
        <w:pStyle w:val="Volanta"/>
        <w:tabs>
          <w:tab w:val="left" w:pos="8025"/>
        </w:tabs>
        <w:jc w:val="both"/>
        <w:rPr>
          <w:rFonts w:ascii="Arial" w:hAnsi="Arial" w:cs="Arial"/>
          <w:bCs w:val="0"/>
          <w:color w:val="808080" w:themeColor="background1" w:themeShade="80"/>
          <w:kern w:val="0"/>
          <w:sz w:val="26"/>
          <w:szCs w:val="26"/>
          <w:lang w:val="es-AR"/>
        </w:rPr>
      </w:pPr>
      <w:r w:rsidRPr="006B4F6B">
        <w:rPr>
          <w:rFonts w:ascii="Arial" w:hAnsi="Arial" w:cs="Arial"/>
          <w:bCs w:val="0"/>
          <w:color w:val="808080" w:themeColor="background1" w:themeShade="80"/>
          <w:kern w:val="0"/>
          <w:sz w:val="26"/>
          <w:szCs w:val="26"/>
          <w:lang w:val="es-AR"/>
        </w:rPr>
        <w:t xml:space="preserve">Balance </w:t>
      </w:r>
      <w:r w:rsidR="00832A6D">
        <w:rPr>
          <w:rFonts w:ascii="Arial" w:hAnsi="Arial" w:cs="Arial"/>
          <w:bCs w:val="0"/>
          <w:color w:val="808080" w:themeColor="background1" w:themeShade="80"/>
          <w:kern w:val="0"/>
          <w:sz w:val="26"/>
          <w:szCs w:val="26"/>
          <w:lang w:val="es-AR"/>
        </w:rPr>
        <w:t xml:space="preserve">Anual de </w:t>
      </w:r>
      <w:r w:rsidRPr="006B4F6B">
        <w:rPr>
          <w:rFonts w:ascii="Arial" w:hAnsi="Arial" w:cs="Arial"/>
          <w:bCs w:val="0"/>
          <w:color w:val="808080" w:themeColor="background1" w:themeShade="80"/>
          <w:kern w:val="0"/>
          <w:sz w:val="26"/>
          <w:szCs w:val="26"/>
          <w:lang w:val="es-AR"/>
        </w:rPr>
        <w:t xml:space="preserve">M&amp;A </w:t>
      </w:r>
      <w:r w:rsidR="00540334">
        <w:rPr>
          <w:rFonts w:ascii="Arial" w:hAnsi="Arial" w:cs="Arial"/>
          <w:bCs w:val="0"/>
          <w:color w:val="808080" w:themeColor="background1" w:themeShade="80"/>
          <w:kern w:val="0"/>
          <w:sz w:val="26"/>
          <w:szCs w:val="26"/>
          <w:lang w:val="es-AR"/>
        </w:rPr>
        <w:t xml:space="preserve">                                                                            </w:t>
      </w:r>
    </w:p>
    <w:p w14:paraId="756BA81B" w14:textId="77777777" w:rsidR="00564130" w:rsidRDefault="00564130" w:rsidP="009F2DEB">
      <w:pPr>
        <w:pStyle w:val="Volanta"/>
        <w:tabs>
          <w:tab w:val="left" w:pos="8025"/>
        </w:tabs>
        <w:rPr>
          <w:rFonts w:ascii="Arial" w:hAnsi="Arial" w:cs="Arial"/>
          <w:bCs w:val="0"/>
          <w:color w:val="31849B" w:themeColor="accent5" w:themeShade="BF"/>
          <w:kern w:val="0"/>
          <w:sz w:val="36"/>
          <w:szCs w:val="36"/>
          <w:lang w:val="es-AR"/>
        </w:rPr>
      </w:pPr>
    </w:p>
    <w:p w14:paraId="6A6290FA" w14:textId="02F28FCA" w:rsidR="00CB1C33" w:rsidRDefault="00CB1C33" w:rsidP="00564130">
      <w:pPr>
        <w:pStyle w:val="Volanta"/>
        <w:tabs>
          <w:tab w:val="left" w:pos="8025"/>
        </w:tabs>
        <w:jc w:val="center"/>
        <w:rPr>
          <w:rFonts w:ascii="Arial" w:hAnsi="Arial" w:cs="Arial"/>
          <w:b w:val="0"/>
          <w:bCs w:val="0"/>
          <w:color w:val="31849B" w:themeColor="accent5" w:themeShade="BF"/>
          <w:kern w:val="0"/>
          <w:szCs w:val="24"/>
          <w:lang w:val="es-AR"/>
        </w:rPr>
      </w:pPr>
    </w:p>
    <w:p w14:paraId="2E82EAE3" w14:textId="6F79CA46" w:rsidR="00CB1C33" w:rsidRDefault="00CB1C33" w:rsidP="00564130">
      <w:pPr>
        <w:pStyle w:val="Volanta"/>
        <w:tabs>
          <w:tab w:val="left" w:pos="8025"/>
        </w:tabs>
        <w:jc w:val="center"/>
        <w:rPr>
          <w:rFonts w:ascii="Arial" w:hAnsi="Arial" w:cs="Arial"/>
          <w:b w:val="0"/>
          <w:bCs w:val="0"/>
          <w:color w:val="31849B" w:themeColor="accent5" w:themeShade="BF"/>
          <w:kern w:val="0"/>
          <w:szCs w:val="24"/>
          <w:lang w:val="es-AR"/>
        </w:rPr>
      </w:pPr>
    </w:p>
    <w:p w14:paraId="2E51DF09" w14:textId="32F09E4E" w:rsidR="00CB1C33" w:rsidRPr="00CB1C33" w:rsidRDefault="00CB1C33" w:rsidP="00564130">
      <w:pPr>
        <w:pStyle w:val="Volanta"/>
        <w:tabs>
          <w:tab w:val="left" w:pos="8025"/>
        </w:tabs>
        <w:jc w:val="center"/>
        <w:rPr>
          <w:rFonts w:ascii="Arial" w:hAnsi="Arial" w:cs="Arial"/>
          <w:color w:val="31849B" w:themeColor="accent5" w:themeShade="BF"/>
          <w:kern w:val="0"/>
          <w:sz w:val="36"/>
          <w:szCs w:val="36"/>
          <w:lang w:val="es-AR"/>
        </w:rPr>
      </w:pPr>
      <w:r w:rsidRPr="00CB1C33">
        <w:rPr>
          <w:rFonts w:ascii="Arial" w:hAnsi="Arial" w:cs="Arial"/>
          <w:color w:val="31849B" w:themeColor="accent5" w:themeShade="BF"/>
          <w:kern w:val="0"/>
          <w:sz w:val="36"/>
          <w:szCs w:val="36"/>
          <w:lang w:val="es-AR"/>
        </w:rPr>
        <w:t>Fuer</w:t>
      </w:r>
      <w:r w:rsidR="00FF427A">
        <w:rPr>
          <w:rFonts w:ascii="Arial" w:hAnsi="Arial" w:cs="Arial"/>
          <w:color w:val="31849B" w:themeColor="accent5" w:themeShade="BF"/>
          <w:kern w:val="0"/>
          <w:sz w:val="36"/>
          <w:szCs w:val="36"/>
          <w:lang w:val="es-AR"/>
        </w:rPr>
        <w:t>te c</w:t>
      </w:r>
      <w:r w:rsidRPr="00CB1C33">
        <w:rPr>
          <w:rFonts w:ascii="Arial" w:hAnsi="Arial" w:cs="Arial"/>
          <w:color w:val="31849B" w:themeColor="accent5" w:themeShade="BF"/>
          <w:kern w:val="0"/>
          <w:sz w:val="36"/>
          <w:szCs w:val="36"/>
          <w:lang w:val="es-AR"/>
        </w:rPr>
        <w:t>aída de las operaciones de compra y fu</w:t>
      </w:r>
      <w:r>
        <w:rPr>
          <w:rFonts w:ascii="Arial" w:hAnsi="Arial" w:cs="Arial"/>
          <w:color w:val="31849B" w:themeColor="accent5" w:themeShade="BF"/>
          <w:kern w:val="0"/>
          <w:sz w:val="36"/>
          <w:szCs w:val="36"/>
          <w:lang w:val="es-AR"/>
        </w:rPr>
        <w:t>s</w:t>
      </w:r>
      <w:r w:rsidRPr="00CB1C33">
        <w:rPr>
          <w:rFonts w:ascii="Arial" w:hAnsi="Arial" w:cs="Arial"/>
          <w:color w:val="31849B" w:themeColor="accent5" w:themeShade="BF"/>
          <w:kern w:val="0"/>
          <w:sz w:val="36"/>
          <w:szCs w:val="36"/>
          <w:lang w:val="es-AR"/>
        </w:rPr>
        <w:t xml:space="preserve">iones de empresas en la </w:t>
      </w:r>
      <w:r>
        <w:rPr>
          <w:rFonts w:ascii="Arial" w:hAnsi="Arial" w:cs="Arial"/>
          <w:color w:val="31849B" w:themeColor="accent5" w:themeShade="BF"/>
          <w:kern w:val="0"/>
          <w:sz w:val="36"/>
          <w:szCs w:val="36"/>
          <w:lang w:val="es-AR"/>
        </w:rPr>
        <w:t>A</w:t>
      </w:r>
      <w:r w:rsidRPr="00CB1C33">
        <w:rPr>
          <w:rFonts w:ascii="Arial" w:hAnsi="Arial" w:cs="Arial"/>
          <w:color w:val="31849B" w:themeColor="accent5" w:themeShade="BF"/>
          <w:kern w:val="0"/>
          <w:sz w:val="36"/>
          <w:szCs w:val="36"/>
          <w:lang w:val="es-AR"/>
        </w:rPr>
        <w:t>rgentina durante 2023</w:t>
      </w:r>
    </w:p>
    <w:p w14:paraId="327B887D" w14:textId="77777777" w:rsidR="00CB1C33" w:rsidRDefault="00CB1C33" w:rsidP="00564130">
      <w:pPr>
        <w:pStyle w:val="Volanta"/>
        <w:tabs>
          <w:tab w:val="left" w:pos="8025"/>
        </w:tabs>
        <w:jc w:val="center"/>
        <w:rPr>
          <w:rFonts w:ascii="Arial" w:hAnsi="Arial" w:cs="Arial"/>
          <w:b w:val="0"/>
          <w:bCs w:val="0"/>
          <w:color w:val="31849B" w:themeColor="accent5" w:themeShade="BF"/>
          <w:kern w:val="0"/>
          <w:szCs w:val="24"/>
          <w:lang w:val="es-AR"/>
        </w:rPr>
      </w:pPr>
    </w:p>
    <w:p w14:paraId="4A749408" w14:textId="77777777" w:rsidR="00CB1C33" w:rsidRDefault="00CB1C33" w:rsidP="00CB1C33">
      <w:pPr>
        <w:pStyle w:val="Volanta"/>
        <w:tabs>
          <w:tab w:val="left" w:pos="8025"/>
        </w:tabs>
        <w:jc w:val="both"/>
        <w:rPr>
          <w:rFonts w:ascii="Arial" w:hAnsi="Arial" w:cs="Arial"/>
          <w:b w:val="0"/>
          <w:bCs w:val="0"/>
          <w:color w:val="31849B" w:themeColor="accent5" w:themeShade="BF"/>
          <w:kern w:val="0"/>
          <w:sz w:val="26"/>
          <w:szCs w:val="26"/>
          <w:lang w:val="es-AR"/>
        </w:rPr>
      </w:pPr>
    </w:p>
    <w:p w14:paraId="36964F45" w14:textId="47CE3EBB" w:rsidR="00B07C75" w:rsidRPr="00CB1C33" w:rsidRDefault="00832A6D" w:rsidP="00CB1C33">
      <w:pPr>
        <w:pStyle w:val="Volanta"/>
        <w:tabs>
          <w:tab w:val="left" w:pos="8025"/>
        </w:tabs>
        <w:jc w:val="both"/>
        <w:rPr>
          <w:rFonts w:ascii="Arial" w:hAnsi="Arial" w:cs="Arial"/>
          <w:b w:val="0"/>
          <w:bCs w:val="0"/>
          <w:color w:val="31849B" w:themeColor="accent5" w:themeShade="BF"/>
          <w:kern w:val="0"/>
          <w:sz w:val="26"/>
          <w:szCs w:val="26"/>
          <w:lang w:val="es-AR"/>
        </w:rPr>
      </w:pPr>
      <w:r w:rsidRPr="00CB1C33">
        <w:rPr>
          <w:rFonts w:ascii="Arial" w:hAnsi="Arial" w:cs="Arial"/>
          <w:b w:val="0"/>
          <w:bCs w:val="0"/>
          <w:color w:val="31849B" w:themeColor="accent5" w:themeShade="BF"/>
          <w:kern w:val="0"/>
          <w:sz w:val="26"/>
          <w:szCs w:val="26"/>
          <w:lang w:val="es-AR"/>
        </w:rPr>
        <w:t xml:space="preserve">Energía, salud, tecnología, medios y telecomunicaciones fueron </w:t>
      </w:r>
      <w:r w:rsidR="00CB1C33">
        <w:rPr>
          <w:rFonts w:ascii="Arial" w:hAnsi="Arial" w:cs="Arial"/>
          <w:b w:val="0"/>
          <w:bCs w:val="0"/>
          <w:color w:val="31849B" w:themeColor="accent5" w:themeShade="BF"/>
          <w:kern w:val="0"/>
          <w:sz w:val="26"/>
          <w:szCs w:val="26"/>
          <w:lang w:val="es-AR"/>
        </w:rPr>
        <w:t>los sectores más activos.</w:t>
      </w:r>
      <w:r w:rsidR="00CB1C33" w:rsidRPr="00CB1C33">
        <w:rPr>
          <w:rFonts w:ascii="Arial" w:hAnsi="Arial" w:cs="Arial"/>
          <w:b w:val="0"/>
          <w:bCs w:val="0"/>
          <w:color w:val="31849B" w:themeColor="accent5" w:themeShade="BF"/>
          <w:kern w:val="0"/>
          <w:sz w:val="26"/>
          <w:szCs w:val="26"/>
          <w:lang w:val="es-AR"/>
        </w:rPr>
        <w:t xml:space="preserve"> </w:t>
      </w:r>
      <w:r w:rsidR="00CB1C33">
        <w:rPr>
          <w:rFonts w:ascii="Arial" w:hAnsi="Arial" w:cs="Arial"/>
          <w:b w:val="0"/>
          <w:bCs w:val="0"/>
          <w:color w:val="31849B" w:themeColor="accent5" w:themeShade="BF"/>
          <w:kern w:val="0"/>
          <w:sz w:val="26"/>
          <w:szCs w:val="26"/>
          <w:lang w:val="es-AR"/>
        </w:rPr>
        <w:t xml:space="preserve">La caída local acompaña la tendencia </w:t>
      </w:r>
      <w:r w:rsidR="00B210B5">
        <w:rPr>
          <w:rFonts w:ascii="Arial" w:hAnsi="Arial" w:cs="Arial"/>
          <w:b w:val="0"/>
          <w:bCs w:val="0"/>
          <w:color w:val="31849B" w:themeColor="accent5" w:themeShade="BF"/>
          <w:kern w:val="0"/>
          <w:sz w:val="26"/>
          <w:szCs w:val="26"/>
          <w:lang w:val="es-AR"/>
        </w:rPr>
        <w:t>mundial que registró el</w:t>
      </w:r>
      <w:r w:rsidR="00CB1C33">
        <w:rPr>
          <w:rFonts w:ascii="Arial" w:hAnsi="Arial" w:cs="Arial"/>
          <w:b w:val="0"/>
          <w:bCs w:val="0"/>
          <w:color w:val="31849B" w:themeColor="accent5" w:themeShade="BF"/>
          <w:kern w:val="0"/>
          <w:sz w:val="26"/>
          <w:szCs w:val="26"/>
          <w:lang w:val="es-AR"/>
        </w:rPr>
        <w:t xml:space="preserve"> volumen más bajo de la década.</w:t>
      </w:r>
    </w:p>
    <w:p w14:paraId="4D340F2D" w14:textId="731D06D0" w:rsidR="00DF5BB2" w:rsidRDefault="00DF5BB2" w:rsidP="00542CAE">
      <w:pPr>
        <w:pStyle w:val="Volanta"/>
        <w:tabs>
          <w:tab w:val="left" w:pos="8025"/>
        </w:tabs>
        <w:jc w:val="both"/>
        <w:rPr>
          <w:rFonts w:ascii="Arial" w:hAnsi="Arial" w:cs="Arial"/>
          <w:bCs w:val="0"/>
          <w:color w:val="808080" w:themeColor="background1" w:themeShade="80"/>
          <w:kern w:val="0"/>
          <w:szCs w:val="24"/>
          <w:lang w:val="es-AR"/>
        </w:rPr>
      </w:pPr>
    </w:p>
    <w:p w14:paraId="3B9B4FF3" w14:textId="77777777" w:rsidR="00CB1C33" w:rsidRDefault="00CB1C33" w:rsidP="00542CAE">
      <w:pPr>
        <w:pStyle w:val="Volanta"/>
        <w:tabs>
          <w:tab w:val="left" w:pos="8025"/>
        </w:tabs>
        <w:jc w:val="both"/>
        <w:rPr>
          <w:rFonts w:ascii="Arial" w:hAnsi="Arial" w:cs="Arial"/>
          <w:bCs w:val="0"/>
          <w:color w:val="808080" w:themeColor="background1" w:themeShade="80"/>
          <w:kern w:val="0"/>
          <w:szCs w:val="24"/>
          <w:lang w:val="es-AR"/>
        </w:rPr>
      </w:pPr>
    </w:p>
    <w:p w14:paraId="0248B2C4" w14:textId="6E07378B" w:rsidR="00895773" w:rsidRPr="00665FF4" w:rsidRDefault="00564130" w:rsidP="007B4146">
      <w:pPr>
        <w:spacing w:before="0" w:after="0"/>
        <w:jc w:val="both"/>
        <w:rPr>
          <w:rFonts w:ascii="Arial" w:hAnsi="Arial" w:cs="Arial"/>
          <w:color w:val="auto"/>
          <w:sz w:val="22"/>
          <w:lang w:val="es-AR" w:eastAsia="es-AR"/>
        </w:rPr>
      </w:pPr>
      <w:r w:rsidRPr="00E57138">
        <w:rPr>
          <w:rFonts w:ascii="Arial" w:hAnsi="Arial" w:cs="Arial"/>
          <w:b/>
          <w:bCs/>
          <w:color w:val="auto"/>
          <w:sz w:val="22"/>
          <w:lang w:val="es-AR"/>
        </w:rPr>
        <w:t xml:space="preserve">Buenos Aires, </w:t>
      </w:r>
      <w:r w:rsidR="00FF427A">
        <w:rPr>
          <w:rFonts w:ascii="Arial" w:hAnsi="Arial" w:cs="Arial"/>
          <w:b/>
          <w:bCs/>
          <w:color w:val="auto"/>
          <w:sz w:val="22"/>
          <w:lang w:val="es-AR"/>
        </w:rPr>
        <w:t>6</w:t>
      </w:r>
      <w:r w:rsidR="0054644B">
        <w:rPr>
          <w:rFonts w:ascii="Arial" w:hAnsi="Arial" w:cs="Arial"/>
          <w:b/>
          <w:bCs/>
          <w:color w:val="auto"/>
          <w:sz w:val="22"/>
          <w:lang w:val="es-AR"/>
        </w:rPr>
        <w:t xml:space="preserve"> de</w:t>
      </w:r>
      <w:r w:rsidR="00540334">
        <w:rPr>
          <w:rFonts w:ascii="Arial" w:hAnsi="Arial" w:cs="Arial"/>
          <w:b/>
          <w:bCs/>
          <w:color w:val="auto"/>
          <w:sz w:val="22"/>
          <w:lang w:val="es-AR"/>
        </w:rPr>
        <w:t xml:space="preserve"> </w:t>
      </w:r>
      <w:r w:rsidRPr="00E57138">
        <w:rPr>
          <w:rFonts w:ascii="Arial" w:hAnsi="Arial" w:cs="Arial"/>
          <w:b/>
          <w:bCs/>
          <w:color w:val="auto"/>
          <w:sz w:val="22"/>
          <w:lang w:val="es-AR"/>
        </w:rPr>
        <w:t>febrero 2024</w:t>
      </w:r>
      <w:r w:rsidR="00832A6D">
        <w:rPr>
          <w:rFonts w:ascii="Arial" w:hAnsi="Arial" w:cs="Arial"/>
          <w:b/>
          <w:bCs/>
          <w:color w:val="auto"/>
          <w:sz w:val="22"/>
          <w:lang w:val="es-AR"/>
        </w:rPr>
        <w:t xml:space="preserve"> </w:t>
      </w:r>
      <w:r w:rsidRPr="00E57138">
        <w:rPr>
          <w:rFonts w:ascii="Arial" w:hAnsi="Arial" w:cs="Arial"/>
          <w:b/>
          <w:bCs/>
          <w:color w:val="auto"/>
          <w:sz w:val="22"/>
          <w:lang w:val="es-AR"/>
        </w:rPr>
        <w:t>/</w:t>
      </w:r>
      <w:r w:rsidR="00832A6D">
        <w:rPr>
          <w:rFonts w:ascii="Arial" w:hAnsi="Arial" w:cs="Arial"/>
          <w:b/>
          <w:bCs/>
          <w:color w:val="auto"/>
          <w:sz w:val="22"/>
          <w:lang w:val="es-AR"/>
        </w:rPr>
        <w:t xml:space="preserve"> </w:t>
      </w:r>
      <w:r w:rsidRPr="00E57138">
        <w:rPr>
          <w:rFonts w:ascii="Arial" w:hAnsi="Arial" w:cs="Arial"/>
          <w:b/>
          <w:bCs/>
          <w:color w:val="auto"/>
          <w:sz w:val="22"/>
          <w:lang w:val="es-AR"/>
        </w:rPr>
        <w:t>KPMG</w:t>
      </w:r>
      <w:r w:rsidRPr="00E57138">
        <w:rPr>
          <w:rFonts w:ascii="Arial" w:hAnsi="Arial" w:cs="Arial"/>
          <w:color w:val="auto"/>
          <w:sz w:val="22"/>
          <w:lang w:val="es-AR"/>
        </w:rPr>
        <w:t xml:space="preserve">. </w:t>
      </w:r>
      <w:r w:rsidR="00B07C75">
        <w:rPr>
          <w:rFonts w:ascii="Arial" w:hAnsi="Arial" w:cs="Arial"/>
          <w:color w:val="auto"/>
          <w:sz w:val="22"/>
          <w:lang w:val="es-AR"/>
        </w:rPr>
        <w:t xml:space="preserve">De acuerdo al informe anual realizado por el equipo de </w:t>
      </w:r>
      <w:r w:rsidR="00B07C75" w:rsidRPr="00B07C75">
        <w:rPr>
          <w:rFonts w:ascii="Arial" w:hAnsi="Arial" w:cs="Arial"/>
          <w:b/>
          <w:bCs/>
          <w:color w:val="auto"/>
          <w:sz w:val="22"/>
          <w:lang w:val="es-AR"/>
        </w:rPr>
        <w:t xml:space="preserve">Advisory </w:t>
      </w:r>
      <w:r w:rsidR="00B07C75" w:rsidRPr="00FF427A">
        <w:rPr>
          <w:rFonts w:ascii="Arial" w:hAnsi="Arial" w:cs="Arial"/>
          <w:color w:val="auto"/>
          <w:sz w:val="22"/>
          <w:lang w:val="es-AR"/>
        </w:rPr>
        <w:t>de</w:t>
      </w:r>
      <w:r w:rsidR="00B07C75" w:rsidRPr="00B07C75">
        <w:rPr>
          <w:rFonts w:ascii="Arial" w:hAnsi="Arial" w:cs="Arial"/>
          <w:b/>
          <w:bCs/>
          <w:color w:val="auto"/>
          <w:sz w:val="22"/>
          <w:lang w:val="es-AR"/>
        </w:rPr>
        <w:t xml:space="preserve"> KPMG Argentina</w:t>
      </w:r>
      <w:r w:rsidR="00B07C75">
        <w:rPr>
          <w:rFonts w:ascii="Arial" w:hAnsi="Arial" w:cs="Arial"/>
          <w:color w:val="auto"/>
          <w:sz w:val="22"/>
          <w:lang w:val="es-AR"/>
        </w:rPr>
        <w:t>, d</w:t>
      </w:r>
      <w:r w:rsidR="00895773" w:rsidRPr="00E57138">
        <w:rPr>
          <w:rFonts w:ascii="Arial" w:hAnsi="Arial" w:cs="Arial"/>
          <w:color w:val="auto"/>
          <w:sz w:val="22"/>
          <w:lang w:val="es-AR"/>
        </w:rPr>
        <w:t>urante el año 2023</w:t>
      </w:r>
      <w:r w:rsidR="00832A6D">
        <w:rPr>
          <w:rFonts w:ascii="Arial" w:hAnsi="Arial" w:cs="Arial"/>
          <w:color w:val="auto"/>
          <w:sz w:val="22"/>
          <w:lang w:val="es-AR"/>
        </w:rPr>
        <w:t xml:space="preserve"> </w:t>
      </w:r>
      <w:r w:rsidR="00895773" w:rsidRPr="00E57138">
        <w:rPr>
          <w:rFonts w:ascii="Arial" w:hAnsi="Arial" w:cs="Arial"/>
          <w:color w:val="auto"/>
          <w:sz w:val="22"/>
          <w:lang w:val="es-AR"/>
        </w:rPr>
        <w:t xml:space="preserve">el mercado de M&amp;A en Argentina </w:t>
      </w:r>
      <w:r w:rsidRPr="00E57138">
        <w:rPr>
          <w:rFonts w:ascii="Arial" w:hAnsi="Arial" w:cs="Arial"/>
          <w:color w:val="auto"/>
          <w:sz w:val="22"/>
          <w:lang w:val="es-AR"/>
        </w:rPr>
        <w:t>concretó</w:t>
      </w:r>
      <w:r w:rsidR="00895773" w:rsidRPr="00E57138">
        <w:rPr>
          <w:rFonts w:ascii="Arial" w:hAnsi="Arial" w:cs="Arial"/>
          <w:color w:val="auto"/>
          <w:sz w:val="22"/>
          <w:lang w:val="es-AR"/>
        </w:rPr>
        <w:t xml:space="preserve"> un </w:t>
      </w:r>
      <w:r w:rsidR="00895773" w:rsidRPr="00665FF4">
        <w:rPr>
          <w:rFonts w:ascii="Arial" w:hAnsi="Arial" w:cs="Arial"/>
          <w:color w:val="auto"/>
          <w:sz w:val="22"/>
          <w:lang w:val="es-AR"/>
        </w:rPr>
        <w:t>total de 73 operaciones</w:t>
      </w:r>
      <w:r w:rsidR="007B4146">
        <w:rPr>
          <w:rFonts w:ascii="Arial" w:hAnsi="Arial" w:cs="Arial"/>
          <w:color w:val="auto"/>
          <w:sz w:val="22"/>
          <w:lang w:val="es-AR"/>
        </w:rPr>
        <w:t xml:space="preserve"> (contra 91 de 2022)</w:t>
      </w:r>
      <w:r w:rsidR="00B07C75" w:rsidRPr="00665FF4">
        <w:rPr>
          <w:rFonts w:ascii="Arial" w:hAnsi="Arial" w:cs="Arial"/>
          <w:color w:val="auto"/>
          <w:sz w:val="22"/>
          <w:lang w:val="es-AR"/>
        </w:rPr>
        <w:t>, en tanto que l</w:t>
      </w:r>
      <w:r w:rsidR="00895773" w:rsidRPr="00665FF4">
        <w:rPr>
          <w:rFonts w:ascii="Arial" w:hAnsi="Arial" w:cs="Arial"/>
          <w:color w:val="auto"/>
          <w:sz w:val="22"/>
          <w:lang w:val="es-AR"/>
        </w:rPr>
        <w:t xml:space="preserve">os valores </w:t>
      </w:r>
      <w:r w:rsidR="00B07C75" w:rsidRPr="00665FF4">
        <w:rPr>
          <w:rFonts w:ascii="Arial" w:hAnsi="Arial" w:cs="Arial"/>
          <w:color w:val="auto"/>
          <w:sz w:val="22"/>
          <w:lang w:val="es-AR"/>
        </w:rPr>
        <w:t xml:space="preserve">económicos </w:t>
      </w:r>
      <w:r w:rsidR="00895773" w:rsidRPr="00665FF4">
        <w:rPr>
          <w:rFonts w:ascii="Arial" w:hAnsi="Arial" w:cs="Arial"/>
          <w:color w:val="auto"/>
          <w:sz w:val="22"/>
          <w:lang w:val="es-AR"/>
        </w:rPr>
        <w:t>del período mantienen</w:t>
      </w:r>
      <w:r w:rsidR="00B07C75" w:rsidRPr="00665FF4">
        <w:rPr>
          <w:rFonts w:ascii="Arial" w:hAnsi="Arial" w:cs="Arial"/>
          <w:color w:val="auto"/>
          <w:sz w:val="22"/>
          <w:lang w:val="es-AR"/>
        </w:rPr>
        <w:t xml:space="preserve"> </w:t>
      </w:r>
      <w:r w:rsidR="00895773" w:rsidRPr="00665FF4">
        <w:rPr>
          <w:rFonts w:ascii="Arial" w:hAnsi="Arial" w:cs="Arial"/>
          <w:color w:val="auto"/>
          <w:sz w:val="22"/>
          <w:lang w:val="es-AR"/>
        </w:rPr>
        <w:t xml:space="preserve">bajos niveles en </w:t>
      </w:r>
      <w:r w:rsidRPr="00665FF4">
        <w:rPr>
          <w:rFonts w:ascii="Arial" w:hAnsi="Arial" w:cs="Arial"/>
          <w:color w:val="auto"/>
          <w:sz w:val="22"/>
          <w:lang w:val="es-AR"/>
        </w:rPr>
        <w:t xml:space="preserve">comparación con </w:t>
      </w:r>
      <w:r w:rsidR="00895773" w:rsidRPr="00665FF4">
        <w:rPr>
          <w:rFonts w:ascii="Arial" w:hAnsi="Arial" w:cs="Arial"/>
          <w:color w:val="auto"/>
          <w:sz w:val="22"/>
          <w:lang w:val="es-AR"/>
        </w:rPr>
        <w:t>2019</w:t>
      </w:r>
      <w:r w:rsidR="00B07C75" w:rsidRPr="00665FF4">
        <w:rPr>
          <w:rFonts w:ascii="Arial" w:hAnsi="Arial" w:cs="Arial"/>
          <w:color w:val="auto"/>
          <w:sz w:val="22"/>
          <w:lang w:val="es-AR"/>
        </w:rPr>
        <w:t xml:space="preserve"> cuando </w:t>
      </w:r>
      <w:r w:rsidR="00895773" w:rsidRPr="00665FF4">
        <w:rPr>
          <w:rFonts w:ascii="Arial" w:hAnsi="Arial" w:cs="Arial"/>
          <w:color w:val="auto"/>
          <w:sz w:val="22"/>
          <w:lang w:val="es-AR"/>
        </w:rPr>
        <w:t>la profundización de las dificultades macroeconómicas globales</w:t>
      </w:r>
      <w:r w:rsidR="00B07C75" w:rsidRPr="00665FF4">
        <w:rPr>
          <w:rFonts w:ascii="Arial" w:hAnsi="Arial" w:cs="Arial"/>
          <w:color w:val="auto"/>
          <w:sz w:val="22"/>
          <w:lang w:val="es-AR"/>
        </w:rPr>
        <w:t xml:space="preserve"> (pandemia del Covid de por medio)</w:t>
      </w:r>
      <w:r w:rsidR="00895773" w:rsidRPr="00665FF4">
        <w:rPr>
          <w:rFonts w:ascii="Arial" w:hAnsi="Arial" w:cs="Arial"/>
          <w:color w:val="auto"/>
          <w:sz w:val="22"/>
          <w:lang w:val="es-AR"/>
        </w:rPr>
        <w:t>, junto con la creciente imposición de restricciones a los mercados locales</w:t>
      </w:r>
      <w:r w:rsidRPr="00665FF4">
        <w:rPr>
          <w:rFonts w:ascii="Arial" w:hAnsi="Arial" w:cs="Arial"/>
          <w:color w:val="auto"/>
          <w:sz w:val="22"/>
          <w:lang w:val="es-AR"/>
        </w:rPr>
        <w:t xml:space="preserve">, </w:t>
      </w:r>
      <w:r w:rsidR="00895773" w:rsidRPr="00665FF4">
        <w:rPr>
          <w:rFonts w:ascii="Arial" w:hAnsi="Arial" w:cs="Arial"/>
          <w:color w:val="auto"/>
          <w:sz w:val="22"/>
          <w:lang w:val="es-AR"/>
        </w:rPr>
        <w:t xml:space="preserve">empujaron las transacciones corporativas a niveles históricamente bajos. Sumado a esto, la volatilidad política y económica experimentada </w:t>
      </w:r>
      <w:r w:rsidR="00832A6D">
        <w:rPr>
          <w:rFonts w:ascii="Arial" w:hAnsi="Arial" w:cs="Arial"/>
          <w:color w:val="auto"/>
          <w:sz w:val="22"/>
          <w:lang w:val="es-AR"/>
        </w:rPr>
        <w:t xml:space="preserve">aquí </w:t>
      </w:r>
      <w:r w:rsidR="00895773" w:rsidRPr="00665FF4">
        <w:rPr>
          <w:rFonts w:ascii="Arial" w:hAnsi="Arial" w:cs="Arial"/>
          <w:color w:val="auto"/>
          <w:sz w:val="22"/>
          <w:lang w:val="es-AR"/>
        </w:rPr>
        <w:t xml:space="preserve">durante el proceso eleccionario </w:t>
      </w:r>
      <w:r w:rsidRPr="00665FF4">
        <w:rPr>
          <w:rFonts w:ascii="Arial" w:hAnsi="Arial" w:cs="Arial"/>
          <w:color w:val="auto"/>
          <w:sz w:val="22"/>
          <w:lang w:val="es-AR"/>
        </w:rPr>
        <w:t>del año pasado</w:t>
      </w:r>
      <w:r w:rsidR="00895773" w:rsidRPr="00665FF4">
        <w:rPr>
          <w:rFonts w:ascii="Arial" w:hAnsi="Arial" w:cs="Arial"/>
          <w:color w:val="auto"/>
          <w:sz w:val="22"/>
          <w:lang w:val="es-AR"/>
        </w:rPr>
        <w:t xml:space="preserve">, ha generado un impacto negativo en los flujos de inversión </w:t>
      </w:r>
      <w:r w:rsidR="00895773" w:rsidRPr="00F10D21">
        <w:rPr>
          <w:rFonts w:ascii="Arial" w:hAnsi="Arial" w:cs="Arial"/>
          <w:color w:val="auto"/>
          <w:sz w:val="22"/>
          <w:lang w:val="es-AR"/>
        </w:rPr>
        <w:t>de las empresas</w:t>
      </w:r>
      <w:r w:rsidR="00B07C75" w:rsidRPr="00F10D21">
        <w:rPr>
          <w:rFonts w:ascii="Arial" w:hAnsi="Arial" w:cs="Arial"/>
          <w:color w:val="auto"/>
          <w:sz w:val="22"/>
          <w:lang w:val="es-AR"/>
        </w:rPr>
        <w:t xml:space="preserve"> </w:t>
      </w:r>
      <w:r w:rsidR="00832A6D" w:rsidRPr="00F10D21">
        <w:rPr>
          <w:rFonts w:ascii="Arial" w:hAnsi="Arial" w:cs="Arial"/>
          <w:color w:val="auto"/>
          <w:sz w:val="22"/>
          <w:lang w:val="es-AR"/>
        </w:rPr>
        <w:t>llevando a</w:t>
      </w:r>
      <w:r w:rsidR="00895773" w:rsidRPr="00F10D21">
        <w:rPr>
          <w:rFonts w:ascii="Arial" w:hAnsi="Arial" w:cs="Arial"/>
          <w:color w:val="auto"/>
          <w:sz w:val="22"/>
          <w:lang w:val="es-AR"/>
        </w:rPr>
        <w:t xml:space="preserve"> la postergación de numerosas decisiones de inversión.</w:t>
      </w:r>
      <w:r w:rsidR="007B4146" w:rsidRPr="00F10D21">
        <w:rPr>
          <w:rFonts w:ascii="Arial" w:hAnsi="Arial" w:cs="Arial"/>
          <w:color w:val="auto"/>
          <w:sz w:val="22"/>
          <w:lang w:val="es-AR" w:eastAsia="es-AR"/>
        </w:rPr>
        <w:t xml:space="preserve"> Si bien muchas de ellas no han </w:t>
      </w:r>
      <w:r w:rsidR="00CB1EC2">
        <w:rPr>
          <w:rFonts w:ascii="Arial" w:hAnsi="Arial" w:cs="Arial"/>
          <w:color w:val="auto"/>
          <w:sz w:val="22"/>
          <w:lang w:val="es-AR" w:eastAsia="es-AR"/>
        </w:rPr>
        <w:t xml:space="preserve">sido </w:t>
      </w:r>
      <w:r w:rsidR="00CB1C33" w:rsidRPr="00F10D21">
        <w:rPr>
          <w:rFonts w:ascii="Arial" w:hAnsi="Arial" w:cs="Arial"/>
          <w:color w:val="auto"/>
          <w:sz w:val="22"/>
          <w:lang w:val="es-AR" w:eastAsia="es-AR"/>
        </w:rPr>
        <w:t>informad</w:t>
      </w:r>
      <w:r w:rsidR="00CB1EC2">
        <w:rPr>
          <w:rFonts w:ascii="Arial" w:hAnsi="Arial" w:cs="Arial"/>
          <w:color w:val="auto"/>
          <w:sz w:val="22"/>
          <w:lang w:val="es-AR" w:eastAsia="es-AR"/>
        </w:rPr>
        <w:t>as</w:t>
      </w:r>
      <w:r w:rsidR="00CB1C33">
        <w:rPr>
          <w:rFonts w:ascii="Arial" w:hAnsi="Arial" w:cs="Arial"/>
          <w:color w:val="auto"/>
          <w:sz w:val="22"/>
          <w:lang w:val="es-AR" w:eastAsia="es-AR"/>
        </w:rPr>
        <w:t xml:space="preserve"> oficialmente </w:t>
      </w:r>
      <w:r w:rsidR="00CB1EC2">
        <w:rPr>
          <w:rFonts w:ascii="Arial" w:hAnsi="Arial" w:cs="Arial"/>
          <w:color w:val="auto"/>
          <w:sz w:val="22"/>
          <w:lang w:val="es-AR" w:eastAsia="es-AR"/>
        </w:rPr>
        <w:t>d</w:t>
      </w:r>
      <w:r w:rsidR="00CB1C33" w:rsidRPr="00F10D21">
        <w:rPr>
          <w:rFonts w:ascii="Arial" w:hAnsi="Arial" w:cs="Arial"/>
          <w:color w:val="auto"/>
          <w:sz w:val="22"/>
          <w:lang w:val="es-AR" w:eastAsia="es-AR"/>
        </w:rPr>
        <w:t>el</w:t>
      </w:r>
      <w:r w:rsidR="007B4146" w:rsidRPr="00F10D21">
        <w:rPr>
          <w:rFonts w:ascii="Arial" w:hAnsi="Arial" w:cs="Arial"/>
          <w:color w:val="auto"/>
          <w:sz w:val="22"/>
          <w:lang w:val="es-AR" w:eastAsia="es-AR"/>
        </w:rPr>
        <w:t xml:space="preserve"> valor de la transacción</w:t>
      </w:r>
      <w:r w:rsidR="00FF427A">
        <w:rPr>
          <w:rFonts w:ascii="Arial" w:hAnsi="Arial" w:cs="Arial"/>
          <w:color w:val="auto"/>
          <w:sz w:val="22"/>
          <w:lang w:val="es-AR" w:eastAsia="es-AR"/>
        </w:rPr>
        <w:t xml:space="preserve"> y</w:t>
      </w:r>
      <w:r w:rsidR="007B4146" w:rsidRPr="00F10D21">
        <w:rPr>
          <w:rFonts w:ascii="Arial" w:hAnsi="Arial" w:cs="Arial"/>
          <w:color w:val="auto"/>
          <w:sz w:val="22"/>
          <w:lang w:val="es-AR" w:eastAsia="es-AR"/>
        </w:rPr>
        <w:t xml:space="preserve"> teniendo en cuenta las conocidas públicamente, el monto total involucrado en 2023 fue </w:t>
      </w:r>
      <w:r w:rsidR="007B4146" w:rsidRPr="0054644B">
        <w:rPr>
          <w:rFonts w:ascii="Arial" w:hAnsi="Arial" w:cs="Arial"/>
          <w:color w:val="auto"/>
          <w:sz w:val="22"/>
          <w:lang w:val="es-AR" w:eastAsia="es-AR"/>
        </w:rPr>
        <w:t>de</w:t>
      </w:r>
      <w:r w:rsidR="00F10D21" w:rsidRPr="0054644B">
        <w:rPr>
          <w:rFonts w:ascii="Arial" w:hAnsi="Arial" w:cs="Arial"/>
          <w:color w:val="auto"/>
          <w:sz w:val="22"/>
          <w:lang w:val="es-AR" w:eastAsia="es-AR"/>
        </w:rPr>
        <w:t xml:space="preserve"> 1.321 </w:t>
      </w:r>
      <w:r w:rsidR="007B4146" w:rsidRPr="0054644B">
        <w:rPr>
          <w:rFonts w:ascii="Arial" w:hAnsi="Arial" w:cs="Arial"/>
          <w:color w:val="auto"/>
          <w:sz w:val="22"/>
          <w:lang w:val="es-AR" w:eastAsia="es-AR"/>
        </w:rPr>
        <w:t>millones</w:t>
      </w:r>
      <w:r w:rsidR="007B4146" w:rsidRPr="00F10D21">
        <w:rPr>
          <w:rFonts w:ascii="Arial" w:hAnsi="Arial" w:cs="Arial"/>
          <w:color w:val="auto"/>
          <w:sz w:val="22"/>
          <w:lang w:val="es-AR" w:eastAsia="es-AR"/>
        </w:rPr>
        <w:t xml:space="preserve"> de dólares</w:t>
      </w:r>
      <w:r w:rsidR="009F2DEB" w:rsidRPr="00F10D21">
        <w:rPr>
          <w:rFonts w:ascii="Arial" w:hAnsi="Arial" w:cs="Arial"/>
          <w:color w:val="auto"/>
          <w:sz w:val="22"/>
          <w:lang w:val="es-AR" w:eastAsia="es-AR"/>
        </w:rPr>
        <w:t xml:space="preserve"> contra los 4.229 millones de 2022.</w:t>
      </w:r>
    </w:p>
    <w:p w14:paraId="77D11E09" w14:textId="7E8A0C2A" w:rsidR="000E6E12" w:rsidRDefault="00895773" w:rsidP="006422D9">
      <w:pPr>
        <w:spacing w:after="0"/>
        <w:jc w:val="both"/>
        <w:rPr>
          <w:rFonts w:ascii="Arial" w:hAnsi="Arial" w:cs="Arial"/>
          <w:color w:val="auto"/>
          <w:sz w:val="22"/>
          <w:lang w:val="es-AR"/>
        </w:rPr>
      </w:pPr>
      <w:r w:rsidRPr="00665FF4">
        <w:rPr>
          <w:rFonts w:ascii="Arial" w:hAnsi="Arial" w:cs="Arial"/>
          <w:color w:val="auto"/>
          <w:sz w:val="22"/>
          <w:lang w:val="es-AR"/>
        </w:rPr>
        <w:t>Los sectores más atractivos durante el</w:t>
      </w:r>
      <w:r w:rsidR="004C4140">
        <w:rPr>
          <w:rFonts w:ascii="Arial" w:hAnsi="Arial" w:cs="Arial"/>
          <w:color w:val="auto"/>
          <w:sz w:val="22"/>
          <w:lang w:val="es-AR"/>
        </w:rPr>
        <w:t xml:space="preserve"> </w:t>
      </w:r>
      <w:r w:rsidRPr="00665FF4">
        <w:rPr>
          <w:rFonts w:ascii="Arial" w:hAnsi="Arial" w:cs="Arial"/>
          <w:color w:val="auto"/>
          <w:sz w:val="22"/>
          <w:lang w:val="es-AR"/>
        </w:rPr>
        <w:t xml:space="preserve">2023 han sido el de Energía y Recursos Naturales, representando el 32% del volumen total </w:t>
      </w:r>
      <w:r w:rsidR="004C4140">
        <w:rPr>
          <w:rFonts w:ascii="Arial" w:hAnsi="Arial" w:cs="Arial"/>
          <w:color w:val="auto"/>
          <w:sz w:val="22"/>
          <w:lang w:val="es-AR"/>
        </w:rPr>
        <w:t>operado</w:t>
      </w:r>
      <w:r w:rsidR="00832A6D">
        <w:rPr>
          <w:rFonts w:ascii="Arial" w:hAnsi="Arial" w:cs="Arial"/>
          <w:color w:val="auto"/>
          <w:sz w:val="22"/>
          <w:lang w:val="es-AR"/>
        </w:rPr>
        <w:t>; Salud el 23</w:t>
      </w:r>
      <w:r w:rsidR="007B4146">
        <w:rPr>
          <w:rFonts w:ascii="Arial" w:hAnsi="Arial" w:cs="Arial"/>
          <w:color w:val="auto"/>
          <w:sz w:val="22"/>
          <w:lang w:val="es-AR"/>
        </w:rPr>
        <w:t xml:space="preserve">%; </w:t>
      </w:r>
      <w:r w:rsidR="007B4146" w:rsidRPr="00665FF4">
        <w:rPr>
          <w:rFonts w:ascii="Arial" w:hAnsi="Arial" w:cs="Arial"/>
          <w:color w:val="auto"/>
          <w:sz w:val="22"/>
          <w:lang w:val="es-AR"/>
        </w:rPr>
        <w:t>y</w:t>
      </w:r>
      <w:r w:rsidRPr="00665FF4">
        <w:rPr>
          <w:rFonts w:ascii="Arial" w:hAnsi="Arial" w:cs="Arial"/>
          <w:color w:val="auto"/>
          <w:sz w:val="22"/>
          <w:lang w:val="es-AR"/>
        </w:rPr>
        <w:t xml:space="preserve"> el de TMT (Tecnología, Medios y Telecomunicaciones), </w:t>
      </w:r>
      <w:r w:rsidR="00564130" w:rsidRPr="00665FF4">
        <w:rPr>
          <w:rFonts w:ascii="Arial" w:hAnsi="Arial" w:cs="Arial"/>
          <w:color w:val="auto"/>
          <w:sz w:val="22"/>
          <w:lang w:val="es-AR"/>
        </w:rPr>
        <w:t xml:space="preserve">con </w:t>
      </w:r>
      <w:r w:rsidRPr="00665FF4">
        <w:rPr>
          <w:rFonts w:ascii="Arial" w:hAnsi="Arial" w:cs="Arial"/>
          <w:color w:val="auto"/>
          <w:sz w:val="22"/>
          <w:lang w:val="es-AR"/>
        </w:rPr>
        <w:t>el 21</w:t>
      </w:r>
      <w:r w:rsidR="00665FF4" w:rsidRPr="00665FF4">
        <w:rPr>
          <w:rFonts w:ascii="Arial" w:hAnsi="Arial" w:cs="Arial"/>
          <w:color w:val="auto"/>
          <w:sz w:val="22"/>
          <w:lang w:val="es-AR"/>
        </w:rPr>
        <w:t>%. Las transacciones entre jugadores locales siguen representando una porción minoritaria del mercado y continúan correspondiendo a oportunidades puntuales que encuentran a compradores y vendedores en condiciones oportunas para cerrar una operación particular</w:t>
      </w:r>
      <w:r w:rsidR="00665FF4">
        <w:rPr>
          <w:rFonts w:ascii="Arial" w:hAnsi="Arial" w:cs="Arial"/>
          <w:color w:val="auto"/>
          <w:sz w:val="22"/>
          <w:lang w:val="es-AR"/>
        </w:rPr>
        <w:t>.</w:t>
      </w:r>
      <w:r w:rsidR="00832A6D">
        <w:rPr>
          <w:rFonts w:ascii="Arial" w:hAnsi="Arial" w:cs="Arial"/>
          <w:color w:val="auto"/>
          <w:sz w:val="22"/>
          <w:lang w:val="es-AR"/>
        </w:rPr>
        <w:t xml:space="preserve"> No </w:t>
      </w:r>
      <w:r w:rsidR="007B4146">
        <w:rPr>
          <w:rFonts w:ascii="Arial" w:hAnsi="Arial" w:cs="Arial"/>
          <w:color w:val="auto"/>
          <w:sz w:val="22"/>
          <w:lang w:val="es-AR"/>
        </w:rPr>
        <w:t>obstante,</w:t>
      </w:r>
      <w:r w:rsidR="00832A6D">
        <w:rPr>
          <w:rFonts w:ascii="Arial" w:hAnsi="Arial" w:cs="Arial"/>
          <w:color w:val="auto"/>
          <w:sz w:val="22"/>
          <w:lang w:val="es-AR"/>
        </w:rPr>
        <w:t xml:space="preserve"> 33 de las operaciones fueron nacionales y 40 internacionales.</w:t>
      </w:r>
    </w:p>
    <w:p w14:paraId="7D6B0771" w14:textId="7816012C" w:rsidR="00895773" w:rsidRDefault="00895773" w:rsidP="006422D9">
      <w:pPr>
        <w:spacing w:after="0"/>
        <w:jc w:val="both"/>
        <w:rPr>
          <w:rFonts w:ascii="Arial" w:hAnsi="Arial" w:cs="Arial"/>
          <w:color w:val="auto"/>
          <w:sz w:val="22"/>
          <w:lang w:val="es-AR"/>
        </w:rPr>
      </w:pPr>
      <w:r w:rsidRPr="00665FF4">
        <w:rPr>
          <w:rFonts w:ascii="Arial" w:hAnsi="Arial" w:cs="Arial"/>
          <w:color w:val="auto"/>
          <w:sz w:val="22"/>
          <w:lang w:val="es-AR"/>
        </w:rPr>
        <w:t>En términos de valores monetarios, el sector Energía &amp; Recursos Naturales concentró el mayor monto invertido, generado en gran proporción por la transacción que tuvo lugar en el</w:t>
      </w:r>
      <w:r w:rsidR="00564130" w:rsidRPr="00665FF4">
        <w:rPr>
          <w:rFonts w:ascii="Arial" w:hAnsi="Arial" w:cs="Arial"/>
          <w:color w:val="auto"/>
          <w:sz w:val="22"/>
          <w:lang w:val="es-AR"/>
        </w:rPr>
        <w:t xml:space="preserve"> tercer trimestre de </w:t>
      </w:r>
      <w:r w:rsidRPr="00665FF4">
        <w:rPr>
          <w:rFonts w:ascii="Arial" w:hAnsi="Arial" w:cs="Arial"/>
          <w:color w:val="auto"/>
          <w:sz w:val="22"/>
          <w:lang w:val="es-AR"/>
        </w:rPr>
        <w:t>2023</w:t>
      </w:r>
      <w:r w:rsidR="00564130" w:rsidRPr="00665FF4">
        <w:rPr>
          <w:rFonts w:ascii="Arial" w:hAnsi="Arial" w:cs="Arial"/>
          <w:color w:val="auto"/>
          <w:sz w:val="22"/>
          <w:lang w:val="es-AR"/>
        </w:rPr>
        <w:t xml:space="preserve"> cuando la empresa minera </w:t>
      </w:r>
      <w:r w:rsidRPr="00665FF4">
        <w:rPr>
          <w:rFonts w:ascii="Arial" w:hAnsi="Arial" w:cs="Arial"/>
          <w:color w:val="auto"/>
          <w:sz w:val="22"/>
          <w:lang w:val="es-AR"/>
        </w:rPr>
        <w:t xml:space="preserve">Glencore </w:t>
      </w:r>
      <w:r w:rsidR="00564130" w:rsidRPr="00665FF4">
        <w:rPr>
          <w:rFonts w:ascii="Arial" w:hAnsi="Arial" w:cs="Arial"/>
          <w:color w:val="auto"/>
          <w:sz w:val="22"/>
          <w:lang w:val="es-AR"/>
        </w:rPr>
        <w:t>compró</w:t>
      </w:r>
      <w:r w:rsidRPr="00665FF4">
        <w:rPr>
          <w:rFonts w:ascii="Arial" w:hAnsi="Arial" w:cs="Arial"/>
          <w:color w:val="auto"/>
          <w:sz w:val="22"/>
          <w:lang w:val="es-AR"/>
        </w:rPr>
        <w:t xml:space="preserve"> </w:t>
      </w:r>
      <w:r w:rsidR="00B07C75" w:rsidRPr="00665FF4">
        <w:rPr>
          <w:rFonts w:ascii="Arial" w:hAnsi="Arial" w:cs="Arial"/>
          <w:color w:val="auto"/>
          <w:sz w:val="22"/>
          <w:lang w:val="es-AR"/>
        </w:rPr>
        <w:t xml:space="preserve">a Pan American Energy </w:t>
      </w:r>
      <w:r w:rsidRPr="00665FF4">
        <w:rPr>
          <w:rFonts w:ascii="Arial" w:hAnsi="Arial" w:cs="Arial"/>
          <w:color w:val="auto"/>
          <w:sz w:val="22"/>
          <w:lang w:val="es-AR"/>
        </w:rPr>
        <w:t>el 56,25% del Proyecto Mara por un total de 475 millones de dólares. Por su parte, cabe destacar la transacción que surgió dentro del sector Química e Industria Manufacturera</w:t>
      </w:r>
      <w:r w:rsidR="00B07C75" w:rsidRPr="00665FF4">
        <w:rPr>
          <w:rFonts w:ascii="Arial" w:hAnsi="Arial" w:cs="Arial"/>
          <w:color w:val="auto"/>
          <w:sz w:val="22"/>
          <w:lang w:val="es-AR"/>
        </w:rPr>
        <w:t xml:space="preserve"> </w:t>
      </w:r>
      <w:r w:rsidR="00665FF4" w:rsidRPr="00665FF4">
        <w:rPr>
          <w:rFonts w:ascii="Arial" w:hAnsi="Arial" w:cs="Arial"/>
          <w:color w:val="auto"/>
          <w:sz w:val="22"/>
          <w:lang w:val="es-AR"/>
        </w:rPr>
        <w:t>por la</w:t>
      </w:r>
      <w:r w:rsidRPr="00665FF4">
        <w:rPr>
          <w:rFonts w:ascii="Arial" w:hAnsi="Arial" w:cs="Arial"/>
          <w:color w:val="auto"/>
          <w:sz w:val="22"/>
          <w:lang w:val="es-AR"/>
        </w:rPr>
        <w:t xml:space="preserve"> cual Tenaris llegó a un acuerdo con Mattr, a través del cual</w:t>
      </w:r>
      <w:r w:rsidR="00B07C75" w:rsidRPr="00665FF4">
        <w:rPr>
          <w:rFonts w:ascii="Arial" w:hAnsi="Arial" w:cs="Arial"/>
          <w:color w:val="auto"/>
          <w:sz w:val="22"/>
          <w:lang w:val="es-AR"/>
        </w:rPr>
        <w:t xml:space="preserve"> </w:t>
      </w:r>
      <w:r w:rsidRPr="00665FF4">
        <w:rPr>
          <w:rFonts w:ascii="Arial" w:hAnsi="Arial" w:cs="Arial"/>
          <w:color w:val="auto"/>
          <w:sz w:val="22"/>
          <w:lang w:val="es-AR"/>
        </w:rPr>
        <w:t>adquiri</w:t>
      </w:r>
      <w:r w:rsidR="00B07C75" w:rsidRPr="00665FF4">
        <w:rPr>
          <w:rFonts w:ascii="Arial" w:hAnsi="Arial" w:cs="Arial"/>
          <w:color w:val="auto"/>
          <w:sz w:val="22"/>
          <w:lang w:val="es-AR"/>
        </w:rPr>
        <w:t>ó</w:t>
      </w:r>
      <w:r w:rsidRPr="00665FF4">
        <w:rPr>
          <w:rFonts w:ascii="Arial" w:hAnsi="Arial" w:cs="Arial"/>
          <w:color w:val="auto"/>
          <w:sz w:val="22"/>
          <w:lang w:val="es-AR"/>
        </w:rPr>
        <w:t xml:space="preserve"> el 100% de su filial Bredero Shaw International, poseedor del negocio de revestimiento de tuberías, por un total de USD 166 millones de dólares</w:t>
      </w:r>
      <w:r w:rsidR="00CB1C33">
        <w:rPr>
          <w:rFonts w:ascii="Arial" w:hAnsi="Arial" w:cs="Arial"/>
          <w:color w:val="auto"/>
          <w:sz w:val="22"/>
          <w:lang w:val="es-AR"/>
        </w:rPr>
        <w:t>.</w:t>
      </w:r>
    </w:p>
    <w:p w14:paraId="7F37E719" w14:textId="1EA99C80" w:rsidR="00CB1C33" w:rsidRDefault="00CB1C33" w:rsidP="006422D9">
      <w:pPr>
        <w:spacing w:after="0"/>
        <w:jc w:val="both"/>
        <w:rPr>
          <w:rFonts w:ascii="Arial" w:hAnsi="Arial" w:cs="Arial"/>
          <w:color w:val="auto"/>
          <w:sz w:val="22"/>
          <w:lang w:val="es-AR"/>
        </w:rPr>
      </w:pPr>
    </w:p>
    <w:p w14:paraId="6BE59C0F" w14:textId="77777777" w:rsidR="00CB1C33" w:rsidRPr="00665FF4" w:rsidRDefault="00CB1C33" w:rsidP="006422D9">
      <w:pPr>
        <w:spacing w:after="0"/>
        <w:jc w:val="both"/>
        <w:rPr>
          <w:rFonts w:ascii="Arial" w:hAnsi="Arial" w:cs="Arial"/>
          <w:color w:val="auto"/>
          <w:sz w:val="22"/>
          <w:lang w:val="es-AR"/>
        </w:rPr>
      </w:pPr>
    </w:p>
    <w:p w14:paraId="7DBD0ED5" w14:textId="5056F6D1" w:rsidR="00665FF4" w:rsidRDefault="00E57138" w:rsidP="007B4146">
      <w:pPr>
        <w:spacing w:after="0"/>
        <w:jc w:val="both"/>
        <w:rPr>
          <w:rFonts w:ascii="Arial" w:hAnsi="Arial" w:cs="Arial"/>
          <w:b/>
          <w:bCs/>
          <w:color w:val="auto"/>
          <w:sz w:val="22"/>
          <w:lang w:val="es-AR"/>
        </w:rPr>
      </w:pPr>
      <w:r w:rsidRPr="00E57138">
        <w:rPr>
          <w:rFonts w:ascii="Arial" w:hAnsi="Arial" w:cs="Arial"/>
          <w:i/>
          <w:iCs/>
          <w:color w:val="auto"/>
          <w:sz w:val="22"/>
          <w:lang w:val="es-AR"/>
        </w:rPr>
        <w:lastRenderedPageBreak/>
        <w:t>“</w:t>
      </w:r>
      <w:r w:rsidR="00895773" w:rsidRPr="00E57138">
        <w:rPr>
          <w:rFonts w:ascii="Arial" w:hAnsi="Arial" w:cs="Arial"/>
          <w:i/>
          <w:iCs/>
          <w:color w:val="auto"/>
          <w:sz w:val="22"/>
          <w:lang w:val="es-AR"/>
        </w:rPr>
        <w:t xml:space="preserve">Si bien </w:t>
      </w:r>
      <w:r w:rsidR="006422D9" w:rsidRPr="00E57138">
        <w:rPr>
          <w:rFonts w:ascii="Arial" w:hAnsi="Arial" w:cs="Arial"/>
          <w:i/>
          <w:iCs/>
          <w:color w:val="auto"/>
          <w:sz w:val="22"/>
          <w:lang w:val="es-AR"/>
        </w:rPr>
        <w:t xml:space="preserve">los resultados de 2023 </w:t>
      </w:r>
      <w:r w:rsidR="00B07C75">
        <w:rPr>
          <w:rFonts w:ascii="Arial" w:hAnsi="Arial" w:cs="Arial"/>
          <w:i/>
          <w:iCs/>
          <w:color w:val="auto"/>
          <w:sz w:val="22"/>
          <w:lang w:val="es-AR"/>
        </w:rPr>
        <w:t xml:space="preserve">en el mercado local </w:t>
      </w:r>
      <w:r w:rsidR="00895773" w:rsidRPr="00E57138">
        <w:rPr>
          <w:rFonts w:ascii="Arial" w:hAnsi="Arial" w:cs="Arial"/>
          <w:i/>
          <w:iCs/>
          <w:color w:val="auto"/>
          <w:sz w:val="22"/>
          <w:lang w:val="es-AR"/>
        </w:rPr>
        <w:t>ha</w:t>
      </w:r>
      <w:r w:rsidR="006422D9" w:rsidRPr="00E57138">
        <w:rPr>
          <w:rFonts w:ascii="Arial" w:hAnsi="Arial" w:cs="Arial"/>
          <w:i/>
          <w:iCs/>
          <w:color w:val="auto"/>
          <w:sz w:val="22"/>
          <w:lang w:val="es-AR"/>
        </w:rPr>
        <w:t>n</w:t>
      </w:r>
      <w:r w:rsidR="00895773" w:rsidRPr="00E57138">
        <w:rPr>
          <w:rFonts w:ascii="Arial" w:hAnsi="Arial" w:cs="Arial"/>
          <w:i/>
          <w:iCs/>
          <w:color w:val="auto"/>
          <w:sz w:val="22"/>
          <w:lang w:val="es-AR"/>
        </w:rPr>
        <w:t xml:space="preserve"> prolongado la tendencia negativa en la cantidad de transacciones y el monto de </w:t>
      </w:r>
      <w:r w:rsidR="006422D9" w:rsidRPr="00E57138">
        <w:rPr>
          <w:rFonts w:ascii="Arial" w:hAnsi="Arial" w:cs="Arial"/>
          <w:i/>
          <w:iCs/>
          <w:color w:val="auto"/>
          <w:sz w:val="22"/>
          <w:lang w:val="es-AR"/>
        </w:rPr>
        <w:t>estas</w:t>
      </w:r>
      <w:r w:rsidR="00895773" w:rsidRPr="00E57138">
        <w:rPr>
          <w:rFonts w:ascii="Arial" w:hAnsi="Arial" w:cs="Arial"/>
          <w:i/>
          <w:iCs/>
          <w:color w:val="auto"/>
          <w:sz w:val="22"/>
          <w:lang w:val="es-AR"/>
        </w:rPr>
        <w:t>, el cambio de gobierno podría impactar positivamente en las expectativas sobre el desempeño futuro de la economía local y, consecuentemente, regenerar un ambiente de negocios propicio para la implementación de acuerdos y transacciones en el país durante los próximos años</w:t>
      </w:r>
      <w:r w:rsidRPr="00E57138">
        <w:rPr>
          <w:rFonts w:ascii="Arial" w:hAnsi="Arial" w:cs="Arial"/>
          <w:i/>
          <w:iCs/>
          <w:color w:val="auto"/>
          <w:sz w:val="22"/>
          <w:lang w:val="es-AR"/>
        </w:rPr>
        <w:t>”,</w:t>
      </w:r>
      <w:r w:rsidRPr="00E57138">
        <w:rPr>
          <w:rFonts w:ascii="Arial" w:hAnsi="Arial" w:cs="Arial"/>
          <w:color w:val="auto"/>
          <w:sz w:val="22"/>
          <w:lang w:val="es-AR"/>
        </w:rPr>
        <w:t xml:space="preserve"> señala </w:t>
      </w:r>
      <w:r w:rsidRPr="00B07C75">
        <w:rPr>
          <w:rFonts w:ascii="Arial" w:hAnsi="Arial" w:cs="Arial"/>
          <w:b/>
          <w:bCs/>
          <w:color w:val="auto"/>
          <w:sz w:val="22"/>
          <w:lang w:val="es-AR"/>
        </w:rPr>
        <w:t xml:space="preserve">Andrea Oteiza, socia a cargo de Deal </w:t>
      </w:r>
      <w:proofErr w:type="spellStart"/>
      <w:r w:rsidRPr="00B07C75">
        <w:rPr>
          <w:rFonts w:ascii="Arial" w:hAnsi="Arial" w:cs="Arial"/>
          <w:b/>
          <w:bCs/>
          <w:color w:val="auto"/>
          <w:sz w:val="22"/>
          <w:lang w:val="es-AR"/>
        </w:rPr>
        <w:t>Advisory</w:t>
      </w:r>
      <w:proofErr w:type="spellEnd"/>
      <w:r w:rsidRPr="00B07C75">
        <w:rPr>
          <w:rFonts w:ascii="Arial" w:hAnsi="Arial" w:cs="Arial"/>
          <w:b/>
          <w:bCs/>
          <w:color w:val="auto"/>
          <w:sz w:val="22"/>
          <w:lang w:val="es-AR"/>
        </w:rPr>
        <w:t xml:space="preserve"> &amp; </w:t>
      </w:r>
      <w:proofErr w:type="spellStart"/>
      <w:r w:rsidRPr="00B07C75">
        <w:rPr>
          <w:rFonts w:ascii="Arial" w:hAnsi="Arial" w:cs="Arial"/>
          <w:b/>
          <w:bCs/>
          <w:color w:val="auto"/>
          <w:sz w:val="22"/>
          <w:lang w:val="es-AR"/>
        </w:rPr>
        <w:t>Strategy</w:t>
      </w:r>
      <w:proofErr w:type="spellEnd"/>
      <w:r w:rsidRPr="00B07C75">
        <w:rPr>
          <w:rFonts w:ascii="Arial" w:hAnsi="Arial" w:cs="Arial"/>
          <w:b/>
          <w:bCs/>
          <w:color w:val="auto"/>
          <w:sz w:val="22"/>
          <w:lang w:val="es-AR"/>
        </w:rPr>
        <w:t xml:space="preserve"> en Argentina</w:t>
      </w:r>
      <w:r w:rsidR="007B4146">
        <w:rPr>
          <w:rFonts w:ascii="Arial" w:hAnsi="Arial" w:cs="Arial"/>
          <w:b/>
          <w:bCs/>
          <w:color w:val="auto"/>
          <w:sz w:val="22"/>
          <w:lang w:val="es-AR"/>
        </w:rPr>
        <w:t>.</w:t>
      </w:r>
    </w:p>
    <w:p w14:paraId="33478C17" w14:textId="5AD611DD" w:rsidR="00CB1C33" w:rsidRDefault="00CB1C33" w:rsidP="007B4146">
      <w:pPr>
        <w:spacing w:after="0"/>
        <w:jc w:val="both"/>
        <w:rPr>
          <w:rFonts w:ascii="Arial" w:hAnsi="Arial" w:cs="Arial"/>
          <w:b/>
          <w:bCs/>
          <w:color w:val="auto"/>
          <w:sz w:val="22"/>
          <w:lang w:val="es-AR"/>
        </w:rPr>
      </w:pPr>
    </w:p>
    <w:p w14:paraId="61783E60" w14:textId="77777777" w:rsidR="00CB1C33" w:rsidRPr="007B4146" w:rsidRDefault="00CB1C33" w:rsidP="007B4146">
      <w:pPr>
        <w:spacing w:after="0"/>
        <w:jc w:val="both"/>
        <w:rPr>
          <w:rFonts w:ascii="Arial" w:hAnsi="Arial" w:cs="Arial"/>
          <w:b/>
          <w:bCs/>
          <w:color w:val="auto"/>
          <w:sz w:val="22"/>
          <w:lang w:val="es-AR"/>
        </w:rPr>
      </w:pPr>
    </w:p>
    <w:p w14:paraId="21492663" w14:textId="1026F55B" w:rsidR="000E6E12" w:rsidRDefault="000E6E12" w:rsidP="000E6E12">
      <w:pPr>
        <w:spacing w:after="0"/>
        <w:jc w:val="center"/>
        <w:rPr>
          <w:rFonts w:ascii="Arial" w:hAnsi="Arial" w:cs="Arial"/>
          <w:b/>
          <w:bCs/>
          <w:color w:val="auto"/>
          <w:sz w:val="22"/>
          <w:u w:val="single"/>
          <w:lang w:val="es-AR"/>
        </w:rPr>
      </w:pPr>
      <w:r>
        <w:rPr>
          <w:noProof/>
        </w:rPr>
        <w:drawing>
          <wp:inline distT="0" distB="0" distL="0" distR="0" wp14:anchorId="419F4F84" wp14:editId="17BA6248">
            <wp:extent cx="5224979" cy="2927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11" t="25056" r="11421" b="12033"/>
                    <a:stretch/>
                  </pic:blipFill>
                  <pic:spPr bwMode="auto">
                    <a:xfrm>
                      <a:off x="0" y="0"/>
                      <a:ext cx="5228307" cy="292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34D3E" w14:textId="77777777" w:rsidR="000E6E12" w:rsidRDefault="000E6E12" w:rsidP="00895773">
      <w:pPr>
        <w:spacing w:after="0"/>
        <w:rPr>
          <w:rFonts w:ascii="Arial" w:hAnsi="Arial" w:cs="Arial"/>
          <w:b/>
          <w:bCs/>
          <w:color w:val="auto"/>
          <w:sz w:val="22"/>
          <w:u w:val="single"/>
          <w:lang w:val="es-AR"/>
        </w:rPr>
      </w:pPr>
    </w:p>
    <w:p w14:paraId="0E23B828" w14:textId="77777777" w:rsidR="00CB1C33" w:rsidRDefault="00CB1C33" w:rsidP="00895773">
      <w:pPr>
        <w:spacing w:after="0"/>
        <w:rPr>
          <w:rFonts w:ascii="Arial" w:hAnsi="Arial" w:cs="Arial"/>
          <w:b/>
          <w:bCs/>
          <w:color w:val="auto"/>
          <w:sz w:val="22"/>
          <w:u w:val="single"/>
          <w:lang w:val="es-AR"/>
        </w:rPr>
      </w:pPr>
    </w:p>
    <w:p w14:paraId="14F81667" w14:textId="5CFDC2B6" w:rsidR="00895773" w:rsidRPr="006422D9" w:rsidRDefault="006422D9" w:rsidP="00895773">
      <w:pPr>
        <w:spacing w:after="0"/>
        <w:rPr>
          <w:rFonts w:ascii="Arial" w:hAnsi="Arial" w:cs="Arial"/>
          <w:b/>
          <w:bCs/>
          <w:color w:val="auto"/>
          <w:sz w:val="22"/>
          <w:u w:val="single"/>
          <w:lang w:val="es-AR"/>
        </w:rPr>
      </w:pPr>
      <w:r w:rsidRPr="006422D9">
        <w:rPr>
          <w:rFonts w:ascii="Arial" w:hAnsi="Arial" w:cs="Arial"/>
          <w:b/>
          <w:bCs/>
          <w:color w:val="auto"/>
          <w:sz w:val="22"/>
          <w:u w:val="single"/>
          <w:lang w:val="es-AR"/>
        </w:rPr>
        <w:t>Orígenes de las operaciones</w:t>
      </w:r>
    </w:p>
    <w:p w14:paraId="0C803700" w14:textId="72978276" w:rsidR="00895773" w:rsidRDefault="00895773" w:rsidP="00665FF4">
      <w:pPr>
        <w:spacing w:after="0"/>
        <w:jc w:val="both"/>
        <w:rPr>
          <w:rFonts w:ascii="Arial" w:hAnsi="Arial" w:cs="Arial"/>
          <w:color w:val="auto"/>
          <w:sz w:val="22"/>
          <w:lang w:val="es-AR"/>
        </w:rPr>
      </w:pPr>
      <w:r w:rsidRPr="00886275">
        <w:rPr>
          <w:rFonts w:ascii="Arial" w:hAnsi="Arial" w:cs="Arial"/>
          <w:color w:val="auto"/>
          <w:sz w:val="22"/>
          <w:lang w:val="es-AR"/>
        </w:rPr>
        <w:t xml:space="preserve">La mayor parte de las transacciones observadas durante 2023 tuvieron la participación de compañías internacionales en el rol de compradores o vendedores de activos en Argentina. </w:t>
      </w:r>
      <w:r w:rsidR="006422D9">
        <w:rPr>
          <w:rFonts w:ascii="Arial" w:hAnsi="Arial" w:cs="Arial"/>
          <w:color w:val="auto"/>
          <w:sz w:val="22"/>
          <w:lang w:val="es-AR"/>
        </w:rPr>
        <w:t>D</w:t>
      </w:r>
      <w:r w:rsidRPr="00886275">
        <w:rPr>
          <w:rFonts w:ascii="Arial" w:hAnsi="Arial" w:cs="Arial"/>
          <w:color w:val="auto"/>
          <w:sz w:val="22"/>
          <w:lang w:val="es-AR"/>
        </w:rPr>
        <w:t xml:space="preserve">el total de las 73 transacciones </w:t>
      </w:r>
      <w:r w:rsidR="006422D9" w:rsidRPr="00F10D21">
        <w:rPr>
          <w:rFonts w:ascii="Arial" w:hAnsi="Arial" w:cs="Arial"/>
          <w:color w:val="auto"/>
          <w:sz w:val="22"/>
          <w:lang w:val="es-AR"/>
        </w:rPr>
        <w:t>registradas</w:t>
      </w:r>
      <w:r w:rsidR="00F10D21">
        <w:rPr>
          <w:rFonts w:ascii="Arial" w:hAnsi="Arial" w:cs="Arial"/>
          <w:color w:val="auto"/>
          <w:sz w:val="22"/>
          <w:lang w:val="es-AR"/>
        </w:rPr>
        <w:t xml:space="preserve"> </w:t>
      </w:r>
      <w:r w:rsidR="00F10D21" w:rsidRPr="0054644B">
        <w:rPr>
          <w:rFonts w:ascii="Arial" w:hAnsi="Arial" w:cs="Arial"/>
          <w:color w:val="auto"/>
          <w:sz w:val="22"/>
          <w:lang w:val="es-AR"/>
        </w:rPr>
        <w:t>durante el año</w:t>
      </w:r>
      <w:r w:rsidRPr="0054644B">
        <w:rPr>
          <w:rFonts w:ascii="Arial" w:hAnsi="Arial" w:cs="Arial"/>
          <w:color w:val="auto"/>
          <w:sz w:val="22"/>
          <w:lang w:val="es-AR"/>
        </w:rPr>
        <w:t>, sólo</w:t>
      </w:r>
      <w:r w:rsidRPr="00886275">
        <w:rPr>
          <w:rFonts w:ascii="Arial" w:hAnsi="Arial" w:cs="Arial"/>
          <w:color w:val="auto"/>
          <w:sz w:val="22"/>
          <w:lang w:val="es-AR"/>
        </w:rPr>
        <w:t xml:space="preserve"> 14 corresponden al ámbito local mientras que 13 </w:t>
      </w:r>
      <w:r w:rsidR="006422D9">
        <w:rPr>
          <w:rFonts w:ascii="Arial" w:hAnsi="Arial" w:cs="Arial"/>
          <w:color w:val="auto"/>
          <w:sz w:val="22"/>
          <w:lang w:val="es-AR"/>
        </w:rPr>
        <w:t xml:space="preserve">fueron regionales </w:t>
      </w:r>
      <w:r w:rsidRPr="00886275">
        <w:rPr>
          <w:rFonts w:ascii="Arial" w:hAnsi="Arial" w:cs="Arial"/>
          <w:color w:val="auto"/>
          <w:sz w:val="22"/>
          <w:lang w:val="es-AR"/>
        </w:rPr>
        <w:t xml:space="preserve">(con participantes procedentes principalmente de Brasil y Uruguay) y </w:t>
      </w:r>
      <w:proofErr w:type="gramStart"/>
      <w:r w:rsidR="00B07C75" w:rsidRPr="00886275">
        <w:rPr>
          <w:rFonts w:ascii="Arial" w:hAnsi="Arial" w:cs="Arial"/>
          <w:color w:val="auto"/>
          <w:sz w:val="22"/>
          <w:lang w:val="es-AR"/>
        </w:rPr>
        <w:t>l</w:t>
      </w:r>
      <w:r w:rsidR="00CB1EC2">
        <w:rPr>
          <w:rFonts w:ascii="Arial" w:hAnsi="Arial" w:cs="Arial"/>
          <w:color w:val="auto"/>
          <w:sz w:val="22"/>
          <w:lang w:val="es-AR"/>
        </w:rPr>
        <w:t>a</w:t>
      </w:r>
      <w:r w:rsidR="00B07C75" w:rsidRPr="00886275">
        <w:rPr>
          <w:rFonts w:ascii="Arial" w:hAnsi="Arial" w:cs="Arial"/>
          <w:color w:val="auto"/>
          <w:sz w:val="22"/>
          <w:lang w:val="es-AR"/>
        </w:rPr>
        <w:t>s 46 restantes</w:t>
      </w:r>
      <w:proofErr w:type="gramEnd"/>
      <w:r w:rsidRPr="00886275">
        <w:rPr>
          <w:rFonts w:ascii="Arial" w:hAnsi="Arial" w:cs="Arial"/>
          <w:color w:val="auto"/>
          <w:sz w:val="22"/>
          <w:lang w:val="es-AR"/>
        </w:rPr>
        <w:t xml:space="preserve"> </w:t>
      </w:r>
      <w:r w:rsidR="006422D9">
        <w:rPr>
          <w:rFonts w:ascii="Arial" w:hAnsi="Arial" w:cs="Arial"/>
          <w:color w:val="auto"/>
          <w:sz w:val="22"/>
          <w:lang w:val="es-AR"/>
        </w:rPr>
        <w:t>del resto del mundo.</w:t>
      </w:r>
    </w:p>
    <w:p w14:paraId="6CA56F86" w14:textId="3974CC86" w:rsidR="00665FF4" w:rsidRPr="00665FF4" w:rsidRDefault="00665FF4" w:rsidP="004C4140">
      <w:pPr>
        <w:spacing w:after="0"/>
        <w:jc w:val="both"/>
        <w:rPr>
          <w:rFonts w:ascii="Arial" w:hAnsi="Arial" w:cs="Arial"/>
          <w:b/>
          <w:bCs/>
          <w:color w:val="auto"/>
          <w:sz w:val="22"/>
          <w:lang w:val="es-AR"/>
        </w:rPr>
      </w:pPr>
      <w:r>
        <w:rPr>
          <w:rFonts w:ascii="Arial" w:hAnsi="Arial" w:cs="Arial"/>
          <w:color w:val="auto"/>
          <w:sz w:val="22"/>
          <w:lang w:val="es-AR"/>
        </w:rPr>
        <w:t>“</w:t>
      </w:r>
      <w:r w:rsidR="00895773" w:rsidRPr="00665FF4">
        <w:rPr>
          <w:rFonts w:ascii="Arial" w:hAnsi="Arial" w:cs="Arial"/>
          <w:i/>
          <w:iCs/>
          <w:color w:val="auto"/>
          <w:sz w:val="22"/>
          <w:lang w:val="es-AR"/>
        </w:rPr>
        <w:t xml:space="preserve">Las operaciones correspondientes a yacimientos </w:t>
      </w:r>
      <w:r w:rsidR="00B07C75" w:rsidRPr="00665FF4">
        <w:rPr>
          <w:rFonts w:ascii="Arial" w:hAnsi="Arial" w:cs="Arial"/>
          <w:i/>
          <w:iCs/>
          <w:color w:val="auto"/>
          <w:sz w:val="22"/>
          <w:lang w:val="es-AR"/>
        </w:rPr>
        <w:t>energéticos</w:t>
      </w:r>
      <w:r w:rsidR="00895773" w:rsidRPr="00665FF4">
        <w:rPr>
          <w:rFonts w:ascii="Arial" w:hAnsi="Arial" w:cs="Arial"/>
          <w:i/>
          <w:iCs/>
          <w:color w:val="auto"/>
          <w:sz w:val="22"/>
          <w:lang w:val="es-AR"/>
        </w:rPr>
        <w:t xml:space="preserve">, </w:t>
      </w:r>
      <w:r w:rsidR="006422D9" w:rsidRPr="00665FF4">
        <w:rPr>
          <w:rFonts w:ascii="Arial" w:hAnsi="Arial" w:cs="Arial"/>
          <w:i/>
          <w:iCs/>
          <w:color w:val="auto"/>
          <w:sz w:val="22"/>
          <w:lang w:val="es-AR"/>
        </w:rPr>
        <w:t xml:space="preserve">como los </w:t>
      </w:r>
      <w:r w:rsidR="00895773" w:rsidRPr="00665FF4">
        <w:rPr>
          <w:rFonts w:ascii="Arial" w:hAnsi="Arial" w:cs="Arial"/>
          <w:i/>
          <w:iCs/>
          <w:color w:val="auto"/>
          <w:sz w:val="22"/>
          <w:lang w:val="es-AR"/>
        </w:rPr>
        <w:t xml:space="preserve">proyectos de litio entre otros, han llevado a la industria de </w:t>
      </w:r>
      <w:bookmarkStart w:id="0" w:name="_Hlk157596084"/>
      <w:r w:rsidR="00895773" w:rsidRPr="00665FF4">
        <w:rPr>
          <w:rFonts w:ascii="Arial" w:hAnsi="Arial" w:cs="Arial"/>
          <w:i/>
          <w:iCs/>
          <w:color w:val="auto"/>
          <w:sz w:val="22"/>
          <w:lang w:val="es-AR"/>
        </w:rPr>
        <w:t>Energía y Recursos Naturales a lo más alto, siendo la industria con más cantidad de transacciones</w:t>
      </w:r>
      <w:r w:rsidR="004C4140">
        <w:rPr>
          <w:rFonts w:ascii="Arial" w:hAnsi="Arial" w:cs="Arial"/>
          <w:i/>
          <w:iCs/>
          <w:color w:val="auto"/>
          <w:sz w:val="22"/>
          <w:lang w:val="es-AR"/>
        </w:rPr>
        <w:t xml:space="preserve"> en las que </w:t>
      </w:r>
      <w:r w:rsidR="00895773" w:rsidRPr="00665FF4">
        <w:rPr>
          <w:rFonts w:ascii="Arial" w:hAnsi="Arial" w:cs="Arial"/>
          <w:i/>
          <w:iCs/>
          <w:color w:val="auto"/>
          <w:sz w:val="22"/>
          <w:lang w:val="es-AR"/>
        </w:rPr>
        <w:t>han participado compradores provenientes de</w:t>
      </w:r>
      <w:r w:rsidR="004C4140">
        <w:rPr>
          <w:rFonts w:ascii="Arial" w:hAnsi="Arial" w:cs="Arial"/>
          <w:i/>
          <w:iCs/>
          <w:color w:val="auto"/>
          <w:sz w:val="22"/>
          <w:lang w:val="es-AR"/>
        </w:rPr>
        <w:t xml:space="preserve"> </w:t>
      </w:r>
      <w:r w:rsidR="00895773" w:rsidRPr="00665FF4">
        <w:rPr>
          <w:rFonts w:ascii="Arial" w:hAnsi="Arial" w:cs="Arial"/>
          <w:i/>
          <w:iCs/>
          <w:color w:val="auto"/>
          <w:sz w:val="22"/>
          <w:lang w:val="es-AR"/>
        </w:rPr>
        <w:t>Canadá, China, Australia y Reino Unido, entre otros</w:t>
      </w:r>
      <w:bookmarkEnd w:id="0"/>
      <w:r w:rsidRPr="00665FF4">
        <w:rPr>
          <w:rFonts w:ascii="Arial" w:hAnsi="Arial" w:cs="Arial"/>
          <w:i/>
          <w:iCs/>
          <w:color w:val="auto"/>
          <w:sz w:val="22"/>
          <w:lang w:val="es-AR"/>
        </w:rPr>
        <w:t xml:space="preserve">. </w:t>
      </w:r>
      <w:r w:rsidR="00895773" w:rsidRPr="00665FF4">
        <w:rPr>
          <w:rFonts w:ascii="Arial" w:hAnsi="Arial" w:cs="Arial"/>
          <w:i/>
          <w:iCs/>
          <w:color w:val="auto"/>
          <w:sz w:val="22"/>
          <w:lang w:val="es-AR"/>
        </w:rPr>
        <w:t>Por otra parte, las empresas tecnológicas</w:t>
      </w:r>
      <w:r w:rsidR="004C4140">
        <w:rPr>
          <w:rFonts w:ascii="Arial" w:hAnsi="Arial" w:cs="Arial"/>
          <w:i/>
          <w:iCs/>
          <w:color w:val="auto"/>
          <w:sz w:val="22"/>
          <w:lang w:val="es-AR"/>
        </w:rPr>
        <w:t xml:space="preserve"> </w:t>
      </w:r>
      <w:r w:rsidR="00895773" w:rsidRPr="00665FF4">
        <w:rPr>
          <w:rFonts w:ascii="Arial" w:hAnsi="Arial" w:cs="Arial"/>
          <w:i/>
          <w:iCs/>
          <w:color w:val="auto"/>
          <w:sz w:val="22"/>
          <w:lang w:val="es-AR"/>
        </w:rPr>
        <w:t>continúan despertando uno de los mayores intereses de los inversores internacionales que evalúan</w:t>
      </w:r>
      <w:r w:rsidR="004C4140">
        <w:rPr>
          <w:rFonts w:ascii="Arial" w:hAnsi="Arial" w:cs="Arial"/>
          <w:i/>
          <w:iCs/>
          <w:color w:val="auto"/>
          <w:sz w:val="22"/>
          <w:lang w:val="es-AR"/>
        </w:rPr>
        <w:t xml:space="preserve"> </w:t>
      </w:r>
      <w:r w:rsidR="00895773" w:rsidRPr="00665FF4">
        <w:rPr>
          <w:rFonts w:ascii="Arial" w:hAnsi="Arial" w:cs="Arial"/>
          <w:i/>
          <w:iCs/>
          <w:color w:val="auto"/>
          <w:sz w:val="22"/>
          <w:lang w:val="es-AR"/>
        </w:rPr>
        <w:t xml:space="preserve">oportunidades en Argentina. Durante el </w:t>
      </w:r>
      <w:r w:rsidR="006422D9" w:rsidRPr="00665FF4">
        <w:rPr>
          <w:rFonts w:ascii="Arial" w:hAnsi="Arial" w:cs="Arial"/>
          <w:i/>
          <w:iCs/>
          <w:color w:val="auto"/>
          <w:sz w:val="22"/>
          <w:lang w:val="es-AR"/>
        </w:rPr>
        <w:t xml:space="preserve">año pasado </w:t>
      </w:r>
      <w:r w:rsidR="00895773" w:rsidRPr="00665FF4">
        <w:rPr>
          <w:rFonts w:ascii="Arial" w:hAnsi="Arial" w:cs="Arial"/>
          <w:i/>
          <w:iCs/>
          <w:color w:val="auto"/>
          <w:sz w:val="22"/>
          <w:lang w:val="es-AR"/>
        </w:rPr>
        <w:t>compradores norteamericanos han tenido la</w:t>
      </w:r>
      <w:r w:rsidR="004C4140">
        <w:rPr>
          <w:rFonts w:ascii="Arial" w:hAnsi="Arial" w:cs="Arial"/>
          <w:i/>
          <w:iCs/>
          <w:color w:val="auto"/>
          <w:sz w:val="22"/>
          <w:lang w:val="es-AR"/>
        </w:rPr>
        <w:t xml:space="preserve"> </w:t>
      </w:r>
      <w:r w:rsidR="00895773" w:rsidRPr="00665FF4">
        <w:rPr>
          <w:rFonts w:ascii="Arial" w:hAnsi="Arial" w:cs="Arial"/>
          <w:i/>
          <w:iCs/>
          <w:color w:val="auto"/>
          <w:sz w:val="22"/>
          <w:lang w:val="es-AR"/>
        </w:rPr>
        <w:t>mayor participación en el sector</w:t>
      </w:r>
      <w:r w:rsidRPr="00665FF4">
        <w:rPr>
          <w:rFonts w:ascii="Arial" w:hAnsi="Arial" w:cs="Arial"/>
          <w:i/>
          <w:iCs/>
          <w:color w:val="auto"/>
          <w:sz w:val="22"/>
          <w:lang w:val="es-AR"/>
        </w:rPr>
        <w:t>”,</w:t>
      </w:r>
      <w:r>
        <w:rPr>
          <w:rFonts w:ascii="Arial" w:hAnsi="Arial" w:cs="Arial"/>
          <w:color w:val="auto"/>
          <w:sz w:val="22"/>
          <w:lang w:val="es-AR"/>
        </w:rPr>
        <w:t xml:space="preserve"> explica </w:t>
      </w:r>
      <w:r w:rsidRPr="00665FF4">
        <w:rPr>
          <w:rFonts w:ascii="Arial" w:hAnsi="Arial" w:cs="Arial"/>
          <w:b/>
          <w:bCs/>
          <w:color w:val="auto"/>
          <w:sz w:val="22"/>
          <w:lang w:val="es-AR"/>
        </w:rPr>
        <w:t>Ramiro Isaac</w:t>
      </w:r>
      <w:r w:rsidR="004C4140">
        <w:rPr>
          <w:rFonts w:ascii="Arial" w:hAnsi="Arial" w:cs="Arial"/>
          <w:b/>
          <w:bCs/>
          <w:color w:val="auto"/>
          <w:sz w:val="22"/>
          <w:lang w:val="es-AR"/>
        </w:rPr>
        <w:t xml:space="preserve"> </w:t>
      </w:r>
      <w:r w:rsidRPr="00665FF4">
        <w:rPr>
          <w:rFonts w:ascii="Arial" w:hAnsi="Arial" w:cs="Arial"/>
          <w:b/>
          <w:bCs/>
          <w:color w:val="auto"/>
          <w:sz w:val="22"/>
          <w:lang w:val="es-AR"/>
        </w:rPr>
        <w:t>director de M&amp;A &amp; Debt Advisory en Argentina</w:t>
      </w:r>
      <w:r w:rsidR="004C4140">
        <w:rPr>
          <w:rFonts w:ascii="Arial" w:hAnsi="Arial" w:cs="Arial"/>
          <w:b/>
          <w:bCs/>
          <w:color w:val="auto"/>
          <w:sz w:val="22"/>
          <w:lang w:val="es-AR"/>
        </w:rPr>
        <w:t>.</w:t>
      </w:r>
    </w:p>
    <w:p w14:paraId="0197749C" w14:textId="76AB0105" w:rsidR="00665FF4" w:rsidRDefault="00665FF4" w:rsidP="004C4140">
      <w:pPr>
        <w:spacing w:after="0"/>
        <w:rPr>
          <w:rFonts w:ascii="Arial" w:hAnsi="Arial" w:cs="Arial"/>
          <w:b/>
          <w:bCs/>
          <w:color w:val="auto"/>
          <w:sz w:val="22"/>
          <w:u w:val="single"/>
          <w:lang w:val="es-AR"/>
        </w:rPr>
      </w:pPr>
    </w:p>
    <w:p w14:paraId="19531F32" w14:textId="77777777" w:rsidR="00665FF4" w:rsidRDefault="00665FF4" w:rsidP="006B4F6B">
      <w:pPr>
        <w:spacing w:after="0"/>
        <w:jc w:val="both"/>
        <w:rPr>
          <w:rFonts w:ascii="Arial" w:hAnsi="Arial" w:cs="Arial"/>
          <w:b/>
          <w:bCs/>
          <w:color w:val="auto"/>
          <w:sz w:val="22"/>
          <w:u w:val="single"/>
          <w:lang w:val="es-AR"/>
        </w:rPr>
      </w:pPr>
    </w:p>
    <w:p w14:paraId="32CC3EAB" w14:textId="50BAD401" w:rsidR="00665FF4" w:rsidRDefault="000E6E12" w:rsidP="00540334">
      <w:pPr>
        <w:spacing w:after="0"/>
        <w:jc w:val="center"/>
        <w:rPr>
          <w:rFonts w:ascii="Arial" w:hAnsi="Arial" w:cs="Arial"/>
          <w:b/>
          <w:bCs/>
          <w:color w:val="auto"/>
          <w:sz w:val="22"/>
          <w:u w:val="single"/>
          <w:lang w:val="es-AR"/>
        </w:rPr>
      </w:pPr>
      <w:r>
        <w:rPr>
          <w:noProof/>
        </w:rPr>
        <w:lastRenderedPageBreak/>
        <w:drawing>
          <wp:inline distT="0" distB="0" distL="0" distR="0" wp14:anchorId="51840EE4" wp14:editId="2A51ABA8">
            <wp:extent cx="6668252" cy="38227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664" t="23958" r="12448" b="10936"/>
                    <a:stretch/>
                  </pic:blipFill>
                  <pic:spPr bwMode="auto">
                    <a:xfrm>
                      <a:off x="0" y="0"/>
                      <a:ext cx="6752157" cy="38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37A83" w14:textId="44B0196D" w:rsidR="00895773" w:rsidRPr="006B4F6B" w:rsidRDefault="006B4F6B" w:rsidP="006B4F6B">
      <w:pPr>
        <w:spacing w:after="0"/>
        <w:jc w:val="both"/>
        <w:rPr>
          <w:rFonts w:ascii="Arial" w:hAnsi="Arial" w:cs="Arial"/>
          <w:b/>
          <w:bCs/>
          <w:color w:val="auto"/>
          <w:sz w:val="22"/>
          <w:u w:val="single"/>
          <w:lang w:val="es-AR"/>
        </w:rPr>
      </w:pPr>
      <w:r w:rsidRPr="006B4F6B">
        <w:rPr>
          <w:rFonts w:ascii="Arial" w:hAnsi="Arial" w:cs="Arial"/>
          <w:b/>
          <w:bCs/>
          <w:color w:val="auto"/>
          <w:sz w:val="22"/>
          <w:u w:val="single"/>
          <w:lang w:val="es-AR"/>
        </w:rPr>
        <w:t>Del mundo</w:t>
      </w:r>
    </w:p>
    <w:p w14:paraId="66F2BC2C" w14:textId="40F1D71C" w:rsidR="00895773" w:rsidRPr="00886275" w:rsidRDefault="00895773" w:rsidP="006B4F6B">
      <w:pPr>
        <w:spacing w:after="0"/>
        <w:jc w:val="both"/>
        <w:rPr>
          <w:rFonts w:ascii="Arial" w:hAnsi="Arial" w:cs="Arial"/>
          <w:color w:val="auto"/>
          <w:sz w:val="22"/>
          <w:lang w:val="es-AR"/>
        </w:rPr>
      </w:pPr>
      <w:r w:rsidRPr="00886275">
        <w:rPr>
          <w:rFonts w:ascii="Arial" w:hAnsi="Arial" w:cs="Arial"/>
          <w:color w:val="auto"/>
          <w:sz w:val="22"/>
          <w:lang w:val="es-AR"/>
        </w:rPr>
        <w:t xml:space="preserve">Una reactivación de los grandes acuerdos </w:t>
      </w:r>
      <w:r w:rsidR="00665FF4">
        <w:rPr>
          <w:rFonts w:ascii="Arial" w:hAnsi="Arial" w:cs="Arial"/>
          <w:color w:val="auto"/>
          <w:sz w:val="22"/>
          <w:lang w:val="es-AR"/>
        </w:rPr>
        <w:t xml:space="preserve">mundiales </w:t>
      </w:r>
      <w:r w:rsidRPr="00886275">
        <w:rPr>
          <w:rFonts w:ascii="Arial" w:hAnsi="Arial" w:cs="Arial"/>
          <w:color w:val="auto"/>
          <w:sz w:val="22"/>
          <w:lang w:val="es-AR"/>
        </w:rPr>
        <w:t xml:space="preserve">corporativos generados durante el cuarto trimestre </w:t>
      </w:r>
      <w:r w:rsidR="00CB1EC2">
        <w:rPr>
          <w:rFonts w:ascii="Arial" w:hAnsi="Arial" w:cs="Arial"/>
          <w:color w:val="auto"/>
          <w:sz w:val="22"/>
          <w:lang w:val="es-AR"/>
        </w:rPr>
        <w:t xml:space="preserve">del año pasado </w:t>
      </w:r>
      <w:r w:rsidRPr="00886275">
        <w:rPr>
          <w:rFonts w:ascii="Arial" w:hAnsi="Arial" w:cs="Arial"/>
          <w:color w:val="auto"/>
          <w:sz w:val="22"/>
          <w:lang w:val="es-AR"/>
        </w:rPr>
        <w:t xml:space="preserve">no fue suficiente para evitar que las fusiones y adquisiciones globales </w:t>
      </w:r>
      <w:r w:rsidR="006B4F6B">
        <w:rPr>
          <w:rFonts w:ascii="Arial" w:hAnsi="Arial" w:cs="Arial"/>
          <w:color w:val="auto"/>
          <w:sz w:val="22"/>
          <w:lang w:val="es-AR"/>
        </w:rPr>
        <w:t>del año</w:t>
      </w:r>
      <w:r w:rsidRPr="00886275">
        <w:rPr>
          <w:rFonts w:ascii="Arial" w:hAnsi="Arial" w:cs="Arial"/>
          <w:color w:val="auto"/>
          <w:sz w:val="22"/>
          <w:lang w:val="es-AR"/>
        </w:rPr>
        <w:t xml:space="preserve"> cayeran a su volumen más bajo en una década. Las transacciones </w:t>
      </w:r>
      <w:r w:rsidR="006B4F6B">
        <w:rPr>
          <w:rFonts w:ascii="Arial" w:hAnsi="Arial" w:cs="Arial"/>
          <w:color w:val="auto"/>
          <w:sz w:val="22"/>
          <w:lang w:val="es-AR"/>
        </w:rPr>
        <w:t xml:space="preserve">internacionales </w:t>
      </w:r>
      <w:r w:rsidRPr="00886275">
        <w:rPr>
          <w:rFonts w:ascii="Arial" w:hAnsi="Arial" w:cs="Arial"/>
          <w:color w:val="auto"/>
          <w:sz w:val="22"/>
          <w:lang w:val="es-AR"/>
        </w:rPr>
        <w:t>han alcanzado un monto de 2</w:t>
      </w:r>
      <w:r w:rsidR="006B4F6B">
        <w:rPr>
          <w:rFonts w:ascii="Arial" w:hAnsi="Arial" w:cs="Arial"/>
          <w:color w:val="auto"/>
          <w:sz w:val="22"/>
          <w:lang w:val="es-AR"/>
        </w:rPr>
        <w:t>.</w:t>
      </w:r>
      <w:r w:rsidRPr="00886275">
        <w:rPr>
          <w:rFonts w:ascii="Arial" w:hAnsi="Arial" w:cs="Arial"/>
          <w:color w:val="auto"/>
          <w:sz w:val="22"/>
          <w:lang w:val="es-AR"/>
        </w:rPr>
        <w:t>9</w:t>
      </w:r>
      <w:r w:rsidR="006B4F6B">
        <w:rPr>
          <w:rFonts w:ascii="Arial" w:hAnsi="Arial" w:cs="Arial"/>
          <w:color w:val="auto"/>
          <w:sz w:val="22"/>
          <w:lang w:val="es-AR"/>
        </w:rPr>
        <w:t>00 millones</w:t>
      </w:r>
      <w:r w:rsidRPr="00886275">
        <w:rPr>
          <w:rFonts w:ascii="Arial" w:hAnsi="Arial" w:cs="Arial"/>
          <w:color w:val="auto"/>
          <w:sz w:val="22"/>
          <w:lang w:val="es-AR"/>
        </w:rPr>
        <w:t xml:space="preserve"> de dólares</w:t>
      </w:r>
      <w:r w:rsidR="004C4140">
        <w:rPr>
          <w:rFonts w:ascii="Arial" w:hAnsi="Arial" w:cs="Arial"/>
          <w:color w:val="auto"/>
          <w:sz w:val="22"/>
          <w:lang w:val="es-AR"/>
        </w:rPr>
        <w:t xml:space="preserve"> en el último trimestre del año</w:t>
      </w:r>
      <w:r w:rsidRPr="00886275">
        <w:rPr>
          <w:rFonts w:ascii="Arial" w:hAnsi="Arial" w:cs="Arial"/>
          <w:color w:val="auto"/>
          <w:sz w:val="22"/>
          <w:lang w:val="es-AR"/>
        </w:rPr>
        <w:t xml:space="preserve">, representando una caída del 23% respecto al año anterior y marcando el peor registro desde 2013. Asimismo, otros de los registros que llama la atención corresponde al número de acuerdos llevados a cabo durante el año, el cual solamente ha </w:t>
      </w:r>
      <w:r w:rsidR="004C4140">
        <w:rPr>
          <w:rFonts w:ascii="Arial" w:hAnsi="Arial" w:cs="Arial"/>
          <w:color w:val="auto"/>
          <w:sz w:val="22"/>
          <w:lang w:val="es-AR"/>
        </w:rPr>
        <w:t xml:space="preserve">totalizado </w:t>
      </w:r>
      <w:r w:rsidRPr="00886275">
        <w:rPr>
          <w:rFonts w:ascii="Arial" w:hAnsi="Arial" w:cs="Arial"/>
          <w:color w:val="auto"/>
          <w:sz w:val="22"/>
          <w:lang w:val="es-AR"/>
        </w:rPr>
        <w:t>34.159 acuerdos, siendo este el nivel más bajo desde el año 2005.</w:t>
      </w:r>
    </w:p>
    <w:p w14:paraId="0929CF83" w14:textId="1D85DAD4" w:rsidR="00895773" w:rsidRPr="00886275" w:rsidRDefault="00895773" w:rsidP="006B4F6B">
      <w:pPr>
        <w:spacing w:after="0"/>
        <w:jc w:val="both"/>
        <w:rPr>
          <w:rFonts w:ascii="Arial" w:hAnsi="Arial" w:cs="Arial"/>
          <w:color w:val="auto"/>
          <w:sz w:val="22"/>
          <w:lang w:val="es-AR"/>
        </w:rPr>
      </w:pPr>
      <w:r w:rsidRPr="00886275">
        <w:rPr>
          <w:rFonts w:ascii="Arial" w:hAnsi="Arial" w:cs="Arial"/>
          <w:color w:val="auto"/>
          <w:sz w:val="22"/>
          <w:lang w:val="es-AR"/>
        </w:rPr>
        <w:t xml:space="preserve">Estos valores preocupantes surgen principalmente como consecuencia de las altas tasas de interés estadounidenses y de la inflación sufrida en </w:t>
      </w:r>
      <w:r w:rsidR="00CB1EC2">
        <w:rPr>
          <w:rFonts w:ascii="Arial" w:hAnsi="Arial" w:cs="Arial"/>
          <w:color w:val="auto"/>
          <w:sz w:val="22"/>
          <w:lang w:val="es-AR"/>
        </w:rPr>
        <w:t xml:space="preserve">ese </w:t>
      </w:r>
      <w:r w:rsidRPr="00886275">
        <w:rPr>
          <w:rFonts w:ascii="Arial" w:hAnsi="Arial" w:cs="Arial"/>
          <w:color w:val="auto"/>
          <w:sz w:val="22"/>
          <w:lang w:val="es-AR"/>
        </w:rPr>
        <w:t>país</w:t>
      </w:r>
      <w:r w:rsidR="00CB1EC2">
        <w:rPr>
          <w:rFonts w:ascii="Arial" w:hAnsi="Arial" w:cs="Arial"/>
          <w:color w:val="auto"/>
          <w:sz w:val="22"/>
          <w:lang w:val="es-AR"/>
        </w:rPr>
        <w:t>.</w:t>
      </w:r>
      <w:r w:rsidRPr="00886275">
        <w:rPr>
          <w:rFonts w:ascii="Arial" w:hAnsi="Arial" w:cs="Arial"/>
          <w:color w:val="auto"/>
          <w:sz w:val="22"/>
          <w:lang w:val="es-AR"/>
        </w:rPr>
        <w:t xml:space="preserve"> Sin embargo, los últimos tres meses de 2023 mostraron signos de reactivación. Las expectativas de que la Reserva Federal de Estados Unidos pondría fin a las subidas de </w:t>
      </w:r>
      <w:r w:rsidR="00CB1EC2">
        <w:rPr>
          <w:rFonts w:ascii="Arial" w:hAnsi="Arial" w:cs="Arial"/>
          <w:color w:val="auto"/>
          <w:sz w:val="22"/>
          <w:lang w:val="es-AR"/>
        </w:rPr>
        <w:t xml:space="preserve">la tasa de </w:t>
      </w:r>
      <w:r w:rsidR="004331F2">
        <w:rPr>
          <w:rFonts w:ascii="Arial" w:hAnsi="Arial" w:cs="Arial"/>
          <w:color w:val="auto"/>
          <w:sz w:val="22"/>
          <w:lang w:val="es-AR"/>
        </w:rPr>
        <w:t>interés</w:t>
      </w:r>
      <w:r w:rsidR="00CB1EC2">
        <w:rPr>
          <w:rFonts w:ascii="Arial" w:hAnsi="Arial" w:cs="Arial"/>
          <w:color w:val="auto"/>
          <w:sz w:val="22"/>
          <w:lang w:val="es-AR"/>
        </w:rPr>
        <w:t xml:space="preserve"> </w:t>
      </w:r>
      <w:r w:rsidRPr="00886275">
        <w:rPr>
          <w:rFonts w:ascii="Arial" w:hAnsi="Arial" w:cs="Arial"/>
          <w:color w:val="auto"/>
          <w:sz w:val="22"/>
          <w:lang w:val="es-AR"/>
        </w:rPr>
        <w:t>y las mayores esperanzas de un aterrizaje suave de la economía ayudaron a restaurar la confianza necesaria para emprender acciones estratégicas en el sector de M&amp;A.</w:t>
      </w:r>
    </w:p>
    <w:p w14:paraId="4115FCBD" w14:textId="4EB42BBA" w:rsidR="00895773" w:rsidRPr="00895773" w:rsidRDefault="00895773" w:rsidP="005135A9">
      <w:pPr>
        <w:spacing w:after="0"/>
        <w:jc w:val="both"/>
        <w:rPr>
          <w:rFonts w:ascii="Arial" w:hAnsi="Arial" w:cs="Arial"/>
          <w:color w:val="auto"/>
          <w:sz w:val="22"/>
          <w:lang w:val="es-AR"/>
        </w:rPr>
      </w:pPr>
      <w:r w:rsidRPr="00895773">
        <w:rPr>
          <w:rFonts w:ascii="Arial" w:hAnsi="Arial" w:cs="Arial"/>
          <w:color w:val="auto"/>
          <w:sz w:val="22"/>
          <w:lang w:val="es-AR"/>
        </w:rPr>
        <w:t xml:space="preserve">En cuanto a las transacciones más relevantes, cinco de los diez principales acuerdos a nivel mundial se anunciaron en el último trimestre del año. Los dos más importantes fueron el de Exxon </w:t>
      </w:r>
      <w:proofErr w:type="spellStart"/>
      <w:r w:rsidRPr="00895773">
        <w:rPr>
          <w:rFonts w:ascii="Arial" w:hAnsi="Arial" w:cs="Arial"/>
          <w:color w:val="auto"/>
          <w:sz w:val="22"/>
          <w:lang w:val="es-AR"/>
        </w:rPr>
        <w:t>Mobil</w:t>
      </w:r>
      <w:proofErr w:type="spellEnd"/>
      <w:r w:rsidR="006B4F6B">
        <w:rPr>
          <w:rFonts w:ascii="Arial" w:hAnsi="Arial" w:cs="Arial"/>
          <w:color w:val="auto"/>
          <w:sz w:val="22"/>
          <w:lang w:val="es-AR"/>
        </w:rPr>
        <w:t xml:space="preserve"> adquiriendo </w:t>
      </w:r>
      <w:r w:rsidRPr="00895773">
        <w:rPr>
          <w:rFonts w:ascii="Arial" w:hAnsi="Arial" w:cs="Arial"/>
          <w:color w:val="auto"/>
          <w:sz w:val="22"/>
          <w:lang w:val="es-AR"/>
        </w:rPr>
        <w:t>a Pioneer Natural Resources por 62 mil millones de dólares</w:t>
      </w:r>
      <w:r w:rsidR="006B4F6B">
        <w:rPr>
          <w:rFonts w:ascii="Arial" w:hAnsi="Arial" w:cs="Arial"/>
          <w:color w:val="auto"/>
          <w:sz w:val="22"/>
          <w:lang w:val="es-AR"/>
        </w:rPr>
        <w:t>;</w:t>
      </w:r>
      <w:r w:rsidRPr="00895773">
        <w:rPr>
          <w:rFonts w:ascii="Arial" w:hAnsi="Arial" w:cs="Arial"/>
          <w:color w:val="auto"/>
          <w:sz w:val="22"/>
          <w:lang w:val="es-AR"/>
        </w:rPr>
        <w:t xml:space="preserve"> y Chevron, que </w:t>
      </w:r>
      <w:r w:rsidR="004C4140">
        <w:rPr>
          <w:rFonts w:ascii="Arial" w:hAnsi="Arial" w:cs="Arial"/>
          <w:color w:val="auto"/>
          <w:sz w:val="22"/>
          <w:lang w:val="es-AR"/>
        </w:rPr>
        <w:t xml:space="preserve">por </w:t>
      </w:r>
      <w:r w:rsidRPr="00895773">
        <w:rPr>
          <w:rFonts w:ascii="Arial" w:hAnsi="Arial" w:cs="Arial"/>
          <w:color w:val="auto"/>
          <w:sz w:val="22"/>
          <w:lang w:val="es-AR"/>
        </w:rPr>
        <w:t xml:space="preserve">un acuerdo </w:t>
      </w:r>
      <w:r w:rsidR="004C4140">
        <w:rPr>
          <w:rFonts w:ascii="Arial" w:hAnsi="Arial" w:cs="Arial"/>
          <w:color w:val="auto"/>
          <w:sz w:val="22"/>
          <w:lang w:val="es-AR"/>
        </w:rPr>
        <w:t>de</w:t>
      </w:r>
      <w:r w:rsidRPr="00895773">
        <w:rPr>
          <w:rFonts w:ascii="Arial" w:hAnsi="Arial" w:cs="Arial"/>
          <w:color w:val="auto"/>
          <w:sz w:val="22"/>
          <w:lang w:val="es-AR"/>
        </w:rPr>
        <w:t xml:space="preserve"> 60.000 millones de dólares ha </w:t>
      </w:r>
      <w:r w:rsidR="006B4F6B">
        <w:rPr>
          <w:rFonts w:ascii="Arial" w:hAnsi="Arial" w:cs="Arial"/>
          <w:color w:val="auto"/>
          <w:sz w:val="22"/>
          <w:lang w:val="es-AR"/>
        </w:rPr>
        <w:t xml:space="preserve">comprado </w:t>
      </w:r>
      <w:r w:rsidRPr="00895773">
        <w:rPr>
          <w:rFonts w:ascii="Arial" w:hAnsi="Arial" w:cs="Arial"/>
          <w:color w:val="auto"/>
          <w:sz w:val="22"/>
          <w:lang w:val="es-AR"/>
        </w:rPr>
        <w:t>la compañía Hesse.</w:t>
      </w:r>
    </w:p>
    <w:p w14:paraId="3274C066" w14:textId="77777777" w:rsidR="000E6E12" w:rsidRDefault="000E6E12" w:rsidP="00895773">
      <w:pPr>
        <w:spacing w:after="0"/>
        <w:rPr>
          <w:rFonts w:ascii="Arial" w:hAnsi="Arial" w:cs="Arial"/>
          <w:b/>
          <w:bCs/>
          <w:color w:val="auto"/>
          <w:sz w:val="22"/>
          <w:u w:val="single"/>
          <w:lang w:val="es-AR"/>
        </w:rPr>
      </w:pPr>
    </w:p>
    <w:p w14:paraId="2FD2E8E4" w14:textId="28E0B87F" w:rsidR="000E6E12" w:rsidRDefault="000E6E12" w:rsidP="000E6E12">
      <w:pPr>
        <w:spacing w:after="0"/>
        <w:jc w:val="center"/>
        <w:rPr>
          <w:rFonts w:ascii="Arial" w:hAnsi="Arial" w:cs="Arial"/>
          <w:b/>
          <w:bCs/>
          <w:color w:val="auto"/>
          <w:sz w:val="22"/>
          <w:u w:val="single"/>
          <w:lang w:val="es-AR"/>
        </w:rPr>
      </w:pPr>
      <w:r>
        <w:rPr>
          <w:noProof/>
        </w:rPr>
        <w:lastRenderedPageBreak/>
        <w:drawing>
          <wp:inline distT="0" distB="0" distL="0" distR="0" wp14:anchorId="5012A525" wp14:editId="381C7DA8">
            <wp:extent cx="5003800" cy="3652063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4205" t="23202" r="10983" b="44607"/>
                    <a:stretch/>
                  </pic:blipFill>
                  <pic:spPr bwMode="auto">
                    <a:xfrm>
                      <a:off x="0" y="0"/>
                      <a:ext cx="5027762" cy="366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36F37" w14:textId="77777777" w:rsidR="000E6E12" w:rsidRDefault="000E6E12" w:rsidP="00895773">
      <w:pPr>
        <w:spacing w:after="0"/>
        <w:rPr>
          <w:rFonts w:ascii="Arial" w:hAnsi="Arial" w:cs="Arial"/>
          <w:b/>
          <w:bCs/>
          <w:color w:val="auto"/>
          <w:sz w:val="22"/>
          <w:u w:val="single"/>
          <w:lang w:val="es-AR"/>
        </w:rPr>
      </w:pPr>
    </w:p>
    <w:p w14:paraId="038DB894" w14:textId="493D4BD8" w:rsidR="00895773" w:rsidRPr="006B4F6B" w:rsidRDefault="00895773" w:rsidP="00895773">
      <w:pPr>
        <w:spacing w:after="0"/>
        <w:rPr>
          <w:rFonts w:ascii="Arial" w:hAnsi="Arial" w:cs="Arial"/>
          <w:b/>
          <w:bCs/>
          <w:color w:val="auto"/>
          <w:sz w:val="22"/>
          <w:u w:val="single"/>
          <w:lang w:val="es-AR"/>
        </w:rPr>
      </w:pPr>
      <w:r w:rsidRPr="006B4F6B">
        <w:rPr>
          <w:rFonts w:ascii="Arial" w:hAnsi="Arial" w:cs="Arial"/>
          <w:b/>
          <w:bCs/>
          <w:color w:val="auto"/>
          <w:sz w:val="22"/>
          <w:u w:val="single"/>
          <w:lang w:val="es-AR"/>
        </w:rPr>
        <w:t>La</w:t>
      </w:r>
      <w:r w:rsidR="006B4F6B" w:rsidRPr="006B4F6B">
        <w:rPr>
          <w:rFonts w:ascii="Arial" w:hAnsi="Arial" w:cs="Arial"/>
          <w:b/>
          <w:bCs/>
          <w:color w:val="auto"/>
          <w:sz w:val="22"/>
          <w:u w:val="single"/>
          <w:lang w:val="es-AR"/>
        </w:rPr>
        <w:t>tinoamérica</w:t>
      </w:r>
    </w:p>
    <w:p w14:paraId="6EEEB80A" w14:textId="364A513A" w:rsidR="00895773" w:rsidRPr="00886275" w:rsidRDefault="006B4F6B" w:rsidP="00CB1EC2">
      <w:pPr>
        <w:spacing w:after="0"/>
        <w:jc w:val="both"/>
        <w:rPr>
          <w:rFonts w:ascii="Arial" w:hAnsi="Arial" w:cs="Arial"/>
          <w:color w:val="auto"/>
          <w:sz w:val="22"/>
          <w:lang w:val="es-AR"/>
        </w:rPr>
      </w:pPr>
      <w:r>
        <w:rPr>
          <w:rFonts w:ascii="Arial" w:hAnsi="Arial" w:cs="Arial"/>
          <w:color w:val="auto"/>
          <w:sz w:val="22"/>
          <w:lang w:val="es-AR"/>
        </w:rPr>
        <w:t>Por su parte, l</w:t>
      </w:r>
      <w:r w:rsidR="00895773" w:rsidRPr="00886275">
        <w:rPr>
          <w:rFonts w:ascii="Arial" w:hAnsi="Arial" w:cs="Arial"/>
          <w:color w:val="auto"/>
          <w:sz w:val="22"/>
          <w:lang w:val="es-AR"/>
        </w:rPr>
        <w:t xml:space="preserve">a región latinoamericana ha registrado 1.126 transacciones </w:t>
      </w:r>
      <w:r>
        <w:rPr>
          <w:rFonts w:ascii="Arial" w:hAnsi="Arial" w:cs="Arial"/>
          <w:color w:val="auto"/>
          <w:sz w:val="22"/>
          <w:lang w:val="es-AR"/>
        </w:rPr>
        <w:t xml:space="preserve">en </w:t>
      </w:r>
      <w:r w:rsidR="00895773" w:rsidRPr="00886275">
        <w:rPr>
          <w:rFonts w:ascii="Arial" w:hAnsi="Arial" w:cs="Arial"/>
          <w:color w:val="auto"/>
          <w:sz w:val="22"/>
          <w:lang w:val="es-AR"/>
        </w:rPr>
        <w:t>2023</w:t>
      </w:r>
      <w:r>
        <w:rPr>
          <w:rFonts w:ascii="Arial" w:hAnsi="Arial" w:cs="Arial"/>
          <w:color w:val="auto"/>
          <w:sz w:val="22"/>
          <w:lang w:val="es-AR"/>
        </w:rPr>
        <w:t xml:space="preserve"> </w:t>
      </w:r>
      <w:r w:rsidR="004C4140">
        <w:rPr>
          <w:rFonts w:ascii="Arial" w:hAnsi="Arial" w:cs="Arial"/>
          <w:color w:val="auto"/>
          <w:sz w:val="22"/>
          <w:lang w:val="es-AR"/>
        </w:rPr>
        <w:t xml:space="preserve">con </w:t>
      </w:r>
      <w:r w:rsidR="00895773" w:rsidRPr="00886275">
        <w:rPr>
          <w:rFonts w:ascii="Arial" w:hAnsi="Arial" w:cs="Arial"/>
          <w:color w:val="auto"/>
          <w:sz w:val="22"/>
          <w:lang w:val="es-AR"/>
        </w:rPr>
        <w:t xml:space="preserve">una caída del 36% </w:t>
      </w:r>
      <w:r>
        <w:rPr>
          <w:rFonts w:ascii="Arial" w:hAnsi="Arial" w:cs="Arial"/>
          <w:color w:val="auto"/>
          <w:sz w:val="22"/>
          <w:lang w:val="es-AR"/>
        </w:rPr>
        <w:t xml:space="preserve">en comparación </w:t>
      </w:r>
      <w:r w:rsidR="004C4140">
        <w:rPr>
          <w:rFonts w:ascii="Arial" w:hAnsi="Arial" w:cs="Arial"/>
          <w:color w:val="auto"/>
          <w:sz w:val="22"/>
          <w:lang w:val="es-AR"/>
        </w:rPr>
        <w:t xml:space="preserve">a </w:t>
      </w:r>
      <w:r>
        <w:rPr>
          <w:rFonts w:ascii="Arial" w:hAnsi="Arial" w:cs="Arial"/>
          <w:color w:val="auto"/>
          <w:sz w:val="22"/>
          <w:lang w:val="es-AR"/>
        </w:rPr>
        <w:t>2022</w:t>
      </w:r>
      <w:r w:rsidR="004C4140">
        <w:rPr>
          <w:rFonts w:ascii="Arial" w:hAnsi="Arial" w:cs="Arial"/>
          <w:color w:val="auto"/>
          <w:sz w:val="22"/>
          <w:lang w:val="es-AR"/>
        </w:rPr>
        <w:t>;</w:t>
      </w:r>
      <w:r w:rsidR="00895773" w:rsidRPr="00886275">
        <w:rPr>
          <w:rFonts w:ascii="Arial" w:hAnsi="Arial" w:cs="Arial"/>
          <w:color w:val="auto"/>
          <w:sz w:val="22"/>
          <w:lang w:val="es-AR"/>
        </w:rPr>
        <w:t xml:space="preserve"> mientras que el valor de las transacciones </w:t>
      </w:r>
      <w:r>
        <w:rPr>
          <w:rFonts w:ascii="Arial" w:hAnsi="Arial" w:cs="Arial"/>
          <w:color w:val="auto"/>
          <w:sz w:val="22"/>
          <w:lang w:val="es-AR"/>
        </w:rPr>
        <w:t>se redujo</w:t>
      </w:r>
      <w:r w:rsidR="00895773" w:rsidRPr="00886275">
        <w:rPr>
          <w:rFonts w:ascii="Arial" w:hAnsi="Arial" w:cs="Arial"/>
          <w:color w:val="auto"/>
          <w:sz w:val="22"/>
          <w:lang w:val="es-AR"/>
        </w:rPr>
        <w:t xml:space="preserve"> un 23% </w:t>
      </w:r>
      <w:r>
        <w:rPr>
          <w:rFonts w:ascii="Arial" w:hAnsi="Arial" w:cs="Arial"/>
          <w:color w:val="auto"/>
          <w:sz w:val="22"/>
          <w:lang w:val="es-AR"/>
        </w:rPr>
        <w:t>totalizando</w:t>
      </w:r>
      <w:r w:rsidR="00895773" w:rsidRPr="00886275">
        <w:rPr>
          <w:rFonts w:ascii="Arial" w:hAnsi="Arial" w:cs="Arial"/>
          <w:color w:val="auto"/>
          <w:sz w:val="22"/>
          <w:lang w:val="es-AR"/>
        </w:rPr>
        <w:t xml:space="preserve"> 75.000 millones de dólares. Los factores macroeconómicos, tales como las altas tasas de interés y la inflación, fueron obstáculos importantes para la actividad de M&amp;A</w:t>
      </w:r>
      <w:r w:rsidR="00CB1EC2">
        <w:rPr>
          <w:rFonts w:ascii="Arial" w:hAnsi="Arial" w:cs="Arial"/>
          <w:color w:val="auto"/>
          <w:sz w:val="22"/>
          <w:lang w:val="es-AR"/>
        </w:rPr>
        <w:t>.</w:t>
      </w:r>
    </w:p>
    <w:p w14:paraId="6EBAD4C8" w14:textId="0554D8B9" w:rsidR="00205751" w:rsidRDefault="00895773" w:rsidP="00CB1EC2">
      <w:pPr>
        <w:spacing w:after="0"/>
        <w:jc w:val="both"/>
        <w:rPr>
          <w:rFonts w:ascii="Arial" w:hAnsi="Arial" w:cs="Arial"/>
          <w:color w:val="auto"/>
          <w:sz w:val="22"/>
          <w:lang w:val="es-AR"/>
        </w:rPr>
      </w:pPr>
      <w:r w:rsidRPr="00895773">
        <w:rPr>
          <w:rFonts w:ascii="Arial" w:hAnsi="Arial" w:cs="Arial"/>
          <w:color w:val="auto"/>
          <w:sz w:val="22"/>
          <w:lang w:val="es-AR"/>
        </w:rPr>
        <w:t xml:space="preserve">A pesar de la caída general, existe un cauteloso optimismo </w:t>
      </w:r>
      <w:r w:rsidR="00CB1EC2">
        <w:rPr>
          <w:rFonts w:ascii="Arial" w:hAnsi="Arial" w:cs="Arial"/>
          <w:color w:val="auto"/>
          <w:sz w:val="22"/>
          <w:lang w:val="es-AR"/>
        </w:rPr>
        <w:t>para 2024</w:t>
      </w:r>
      <w:r w:rsidRPr="00895773">
        <w:rPr>
          <w:rFonts w:ascii="Arial" w:hAnsi="Arial" w:cs="Arial"/>
          <w:color w:val="auto"/>
          <w:sz w:val="22"/>
          <w:lang w:val="es-AR"/>
        </w:rPr>
        <w:t xml:space="preserve">. El fin del ciclo de aumentos de las tasas de interés en EEUU y el menor crecimiento en China podría conducir a un rebote en la actividad de transacciones en América Latina. Se espera que la posible recuperación económica sea gradual y con diferentes ritmos de crecimiento dependiendo de los países y sectores. Además de esto, las empresas que sufrieron dificultades a lo largo del año </w:t>
      </w:r>
      <w:r w:rsidR="00CB1EC2">
        <w:rPr>
          <w:rFonts w:ascii="Arial" w:hAnsi="Arial" w:cs="Arial"/>
          <w:color w:val="auto"/>
          <w:sz w:val="22"/>
          <w:lang w:val="es-AR"/>
        </w:rPr>
        <w:t xml:space="preserve">pasado </w:t>
      </w:r>
      <w:r w:rsidRPr="00895773">
        <w:rPr>
          <w:rFonts w:ascii="Arial" w:hAnsi="Arial" w:cs="Arial"/>
          <w:color w:val="auto"/>
          <w:sz w:val="22"/>
          <w:lang w:val="es-AR"/>
        </w:rPr>
        <w:t>podrían ofrecer oportunidades atractivas en 2024.</w:t>
      </w:r>
      <w:r w:rsidR="00540334">
        <w:rPr>
          <w:rFonts w:ascii="Arial" w:hAnsi="Arial" w:cs="Arial"/>
          <w:color w:val="auto"/>
          <w:sz w:val="22"/>
          <w:lang w:val="es-AR"/>
        </w:rPr>
        <w:t>-</w:t>
      </w:r>
    </w:p>
    <w:p w14:paraId="1ED82E45" w14:textId="380D6CE0" w:rsidR="00665FF4" w:rsidRDefault="00665FF4" w:rsidP="00CB1EC2">
      <w:pPr>
        <w:spacing w:after="0"/>
        <w:jc w:val="both"/>
        <w:rPr>
          <w:rFonts w:ascii="Arial" w:hAnsi="Arial" w:cs="Arial"/>
          <w:color w:val="auto"/>
          <w:sz w:val="22"/>
          <w:lang w:val="es-AR"/>
        </w:rPr>
      </w:pPr>
    </w:p>
    <w:p w14:paraId="761694DB" w14:textId="77777777" w:rsidR="00540334" w:rsidRDefault="00540334" w:rsidP="00665FF4">
      <w:pPr>
        <w:spacing w:after="0"/>
        <w:rPr>
          <w:rFonts w:ascii="Arial" w:hAnsi="Arial" w:cs="Arial"/>
          <w:color w:val="auto"/>
          <w:sz w:val="22"/>
          <w:lang w:val="es-AR"/>
        </w:rPr>
      </w:pPr>
    </w:p>
    <w:p w14:paraId="66135290" w14:textId="62A0E92D" w:rsidR="00205751" w:rsidRDefault="00205751" w:rsidP="00542CAE">
      <w:pPr>
        <w:pStyle w:val="Volanta"/>
        <w:tabs>
          <w:tab w:val="left" w:pos="8025"/>
        </w:tabs>
        <w:jc w:val="both"/>
        <w:rPr>
          <w:rFonts w:ascii="Arial" w:hAnsi="Arial" w:cs="Arial"/>
          <w:bCs w:val="0"/>
          <w:color w:val="808080" w:themeColor="background1" w:themeShade="80"/>
          <w:kern w:val="0"/>
          <w:szCs w:val="24"/>
          <w:lang w:val="es-AR"/>
        </w:rPr>
      </w:pPr>
    </w:p>
    <w:p w14:paraId="521E5BC2" w14:textId="71B2F757" w:rsidR="00CB1C33" w:rsidRDefault="00CB1C33" w:rsidP="00542CAE">
      <w:pPr>
        <w:pStyle w:val="Volanta"/>
        <w:tabs>
          <w:tab w:val="left" w:pos="8025"/>
        </w:tabs>
        <w:jc w:val="both"/>
        <w:rPr>
          <w:rFonts w:ascii="Arial" w:hAnsi="Arial" w:cs="Arial"/>
          <w:bCs w:val="0"/>
          <w:color w:val="808080" w:themeColor="background1" w:themeShade="80"/>
          <w:kern w:val="0"/>
          <w:szCs w:val="24"/>
          <w:lang w:val="es-AR"/>
        </w:rPr>
      </w:pPr>
    </w:p>
    <w:p w14:paraId="79C7CAF3" w14:textId="00C1C058" w:rsidR="00CB1C33" w:rsidRDefault="00CB1C33" w:rsidP="00542CAE">
      <w:pPr>
        <w:pStyle w:val="Volanta"/>
        <w:tabs>
          <w:tab w:val="left" w:pos="8025"/>
        </w:tabs>
        <w:jc w:val="both"/>
        <w:rPr>
          <w:rFonts w:ascii="Arial" w:hAnsi="Arial" w:cs="Arial"/>
          <w:bCs w:val="0"/>
          <w:color w:val="808080" w:themeColor="background1" w:themeShade="80"/>
          <w:kern w:val="0"/>
          <w:szCs w:val="24"/>
          <w:lang w:val="es-AR"/>
        </w:rPr>
      </w:pPr>
    </w:p>
    <w:p w14:paraId="23FCB162" w14:textId="77777777" w:rsidR="00CB1C33" w:rsidRDefault="00CB1C33" w:rsidP="00542CAE">
      <w:pPr>
        <w:pStyle w:val="Volanta"/>
        <w:tabs>
          <w:tab w:val="left" w:pos="8025"/>
        </w:tabs>
        <w:jc w:val="both"/>
        <w:rPr>
          <w:rFonts w:ascii="Arial" w:hAnsi="Arial" w:cs="Arial"/>
          <w:bCs w:val="0"/>
          <w:color w:val="808080" w:themeColor="background1" w:themeShade="80"/>
          <w:kern w:val="0"/>
          <w:szCs w:val="24"/>
          <w:lang w:val="es-AR"/>
        </w:rPr>
      </w:pPr>
    </w:p>
    <w:p w14:paraId="3A166372" w14:textId="3310C35E" w:rsidR="00205751" w:rsidRPr="00205751" w:rsidRDefault="00205751" w:rsidP="00205751">
      <w:pPr>
        <w:pStyle w:val="Volanta"/>
        <w:tabs>
          <w:tab w:val="left" w:pos="8025"/>
        </w:tabs>
        <w:jc w:val="center"/>
        <w:rPr>
          <w:rFonts w:ascii="Arial" w:hAnsi="Arial" w:cs="Arial"/>
          <w:b w:val="0"/>
          <w:color w:val="auto"/>
          <w:kern w:val="0"/>
          <w:sz w:val="22"/>
          <w:szCs w:val="22"/>
          <w:lang w:val="es-AR"/>
        </w:rPr>
        <w:sectPr w:rsidR="00205751" w:rsidRPr="00205751" w:rsidSect="0003732D">
          <w:footerReference w:type="default" r:id="rId14"/>
          <w:headerReference w:type="first" r:id="rId15"/>
          <w:type w:val="continuous"/>
          <w:pgSz w:w="11907" w:h="16839" w:code="9"/>
          <w:pgMar w:top="1440" w:right="1107" w:bottom="1440" w:left="1080" w:header="360" w:footer="720" w:gutter="0"/>
          <w:cols w:space="720"/>
          <w:titlePg/>
          <w:docGrid w:linePitch="360"/>
        </w:sectPr>
      </w:pPr>
      <w:r w:rsidRPr="00205751">
        <w:rPr>
          <w:rFonts w:ascii="Arial" w:hAnsi="Arial" w:cs="Arial"/>
          <w:b w:val="0"/>
          <w:color w:val="auto"/>
          <w:kern w:val="0"/>
          <w:sz w:val="22"/>
          <w:szCs w:val="22"/>
          <w:lang w:val="es-AR"/>
        </w:rPr>
        <w:t>Fin</w:t>
      </w:r>
    </w:p>
    <w:p w14:paraId="24886285" w14:textId="1F385293" w:rsidR="00AE6BDF" w:rsidRDefault="00AE6BDF" w:rsidP="00542CAE">
      <w:pPr>
        <w:spacing w:before="0" w:after="0"/>
        <w:rPr>
          <w:color w:val="auto"/>
          <w:sz w:val="22"/>
          <w:lang w:val="es-AR"/>
        </w:rPr>
      </w:pPr>
    </w:p>
    <w:p w14:paraId="66E8F639" w14:textId="77777777" w:rsidR="00205751" w:rsidRDefault="00205751" w:rsidP="00542CAE">
      <w:pPr>
        <w:spacing w:before="0" w:after="0"/>
        <w:rPr>
          <w:color w:val="auto"/>
          <w:sz w:val="22"/>
          <w:lang w:val="es-AR"/>
        </w:rPr>
      </w:pPr>
    </w:p>
    <w:p w14:paraId="70C93F40" w14:textId="4FE67A15" w:rsidR="003F0655" w:rsidRPr="00054C16" w:rsidRDefault="003F0655" w:rsidP="00DF5BB2">
      <w:pPr>
        <w:spacing w:before="0" w:after="0"/>
        <w:jc w:val="center"/>
        <w:rPr>
          <w:color w:val="auto"/>
          <w:sz w:val="22"/>
          <w:lang w:val="es-AR"/>
        </w:rPr>
      </w:pPr>
    </w:p>
    <w:tbl>
      <w:tblPr>
        <w:tblStyle w:val="Tabladelista5oscura-nfasis1"/>
        <w:tblW w:w="9638" w:type="dxa"/>
        <w:tblLook w:val="0600" w:firstRow="0" w:lastRow="0" w:firstColumn="0" w:lastColumn="0" w:noHBand="1" w:noVBand="1"/>
      </w:tblPr>
      <w:tblGrid>
        <w:gridCol w:w="9638"/>
      </w:tblGrid>
      <w:tr w:rsidR="001F1952" w:rsidRPr="00CB1EC2" w14:paraId="4F83C681" w14:textId="77777777" w:rsidTr="00C33BB6">
        <w:trPr>
          <w:trHeight w:val="1659"/>
        </w:trPr>
        <w:tc>
          <w:tcPr>
            <w:tcW w:w="9638" w:type="dxa"/>
          </w:tcPr>
          <w:p w14:paraId="03ED75BB" w14:textId="77777777" w:rsidR="001F1952" w:rsidRPr="003858E8" w:rsidRDefault="001F1952" w:rsidP="00C33BB6">
            <w:pPr>
              <w:keepNext/>
              <w:spacing w:before="0" w:after="0"/>
              <w:mirrorIndents/>
              <w:outlineLvl w:val="2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3858E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MX"/>
              </w:rPr>
              <w:lastRenderedPageBreak/>
              <w:t>Acerca de KPMG Internacional</w:t>
            </w:r>
          </w:p>
          <w:p w14:paraId="47CA4BCB" w14:textId="77777777" w:rsidR="001F1952" w:rsidRPr="00E17636" w:rsidRDefault="001F1952" w:rsidP="00C33BB6">
            <w:pPr>
              <w:spacing w:before="0" w:after="0"/>
              <w:rPr>
                <w:lang w:val="es-MX"/>
              </w:rPr>
            </w:pPr>
          </w:p>
          <w:p w14:paraId="36CA81D0" w14:textId="77777777" w:rsidR="001F1952" w:rsidRPr="002158D4" w:rsidRDefault="001F1952" w:rsidP="00CB1EC2">
            <w:pPr>
              <w:jc w:val="both"/>
              <w:rPr>
                <w:rFonts w:ascii="Arial" w:hAnsi="Arial" w:cs="Arial"/>
                <w:color w:val="FFFFFF" w:themeColor="background1"/>
                <w:sz w:val="18"/>
                <w:lang w:val="es-AR"/>
              </w:rPr>
            </w:pPr>
            <w:r w:rsidRPr="002158D4">
              <w:rPr>
                <w:rFonts w:ascii="Arial" w:hAnsi="Arial" w:cs="Arial"/>
                <w:color w:val="FFFFFF" w:themeColor="background1"/>
                <w:sz w:val="18"/>
                <w:lang w:val="es-AR"/>
              </w:rPr>
              <w:t xml:space="preserve">KPMG es una red global de firmas profesionales que prestan servicios de auditoría, impuestos y asesoría. KPMG es la marca que utilizan las firmas miembros de KPMG International </w:t>
            </w:r>
            <w:proofErr w:type="spellStart"/>
            <w:r w:rsidRPr="002158D4">
              <w:rPr>
                <w:rFonts w:ascii="Arial" w:hAnsi="Arial" w:cs="Arial"/>
                <w:color w:val="FFFFFF" w:themeColor="background1"/>
                <w:sz w:val="18"/>
                <w:lang w:val="es-AR"/>
              </w:rPr>
              <w:t>Limited</w:t>
            </w:r>
            <w:proofErr w:type="spellEnd"/>
            <w:r w:rsidRPr="002158D4">
              <w:rPr>
                <w:rFonts w:ascii="Arial" w:hAnsi="Arial" w:cs="Arial"/>
                <w:color w:val="FFFFFF" w:themeColor="background1"/>
                <w:sz w:val="18"/>
                <w:lang w:val="es-AR"/>
              </w:rPr>
              <w:t xml:space="preserve"> (“KPMG International”) para operar y prestar servicios profesionales. “KPMG” se utiliza para hacer referencia a firmas miembro individuales dentro de la organización KPMG o a una o más firmas miembros en forma conjunta.</w:t>
            </w:r>
          </w:p>
          <w:p w14:paraId="11E2E4F4" w14:textId="77777777" w:rsidR="001F1952" w:rsidRPr="002158D4" w:rsidRDefault="001F1952" w:rsidP="00CB1EC2">
            <w:pPr>
              <w:jc w:val="both"/>
              <w:rPr>
                <w:rFonts w:ascii="Arial" w:hAnsi="Arial" w:cs="Arial"/>
                <w:color w:val="FFFFFF" w:themeColor="background1"/>
                <w:sz w:val="18"/>
                <w:lang w:val="es-AR"/>
              </w:rPr>
            </w:pPr>
            <w:r w:rsidRPr="002158D4">
              <w:rPr>
                <w:rFonts w:ascii="Arial" w:hAnsi="Arial" w:cs="Arial"/>
                <w:color w:val="FFFFFF" w:themeColor="background1"/>
                <w:sz w:val="18"/>
                <w:lang w:val="es-AR"/>
              </w:rPr>
              <w:t>KPMG opera en 143 países y territorios, con más de 265.000 socios y colaboradores que trabajan en las firmas miembro en todo el mundo. Cada firma de KPMG es una entidad independiente y se describe a sí misma como tal. Cada firma miembro de KPMG responde por sus propias obligaciones y responsabilidades.</w:t>
            </w:r>
          </w:p>
          <w:p w14:paraId="487616B1" w14:textId="77777777" w:rsidR="001F1952" w:rsidRPr="002158D4" w:rsidRDefault="001F1952" w:rsidP="00CB1EC2">
            <w:pPr>
              <w:jc w:val="both"/>
              <w:rPr>
                <w:rFonts w:ascii="Arial" w:hAnsi="Arial" w:cs="Arial"/>
                <w:color w:val="FFFFFF" w:themeColor="background1"/>
                <w:sz w:val="18"/>
                <w:lang w:val="es-AR"/>
              </w:rPr>
            </w:pPr>
            <w:r w:rsidRPr="002158D4">
              <w:rPr>
                <w:rFonts w:ascii="Arial" w:hAnsi="Arial" w:cs="Arial"/>
                <w:color w:val="FFFFFF" w:themeColor="background1"/>
                <w:sz w:val="18"/>
                <w:lang w:val="es-AR"/>
              </w:rPr>
              <w:t xml:space="preserve">KPMG International </w:t>
            </w:r>
            <w:proofErr w:type="spellStart"/>
            <w:r w:rsidRPr="002158D4">
              <w:rPr>
                <w:rFonts w:ascii="Arial" w:hAnsi="Arial" w:cs="Arial"/>
                <w:color w:val="FFFFFF" w:themeColor="background1"/>
                <w:sz w:val="18"/>
                <w:lang w:val="es-AR"/>
              </w:rPr>
              <w:t>Limited</w:t>
            </w:r>
            <w:proofErr w:type="spellEnd"/>
            <w:r w:rsidRPr="002158D4">
              <w:rPr>
                <w:rFonts w:ascii="Arial" w:hAnsi="Arial" w:cs="Arial"/>
                <w:color w:val="FFFFFF" w:themeColor="background1"/>
                <w:sz w:val="18"/>
                <w:lang w:val="es-AR"/>
              </w:rPr>
              <w:t xml:space="preserve"> es una entidad privada inglesa limitada por garantía. KPMG International </w:t>
            </w:r>
            <w:proofErr w:type="spellStart"/>
            <w:r w:rsidRPr="002158D4">
              <w:rPr>
                <w:rFonts w:ascii="Arial" w:hAnsi="Arial" w:cs="Arial"/>
                <w:color w:val="FFFFFF" w:themeColor="background1"/>
                <w:sz w:val="18"/>
                <w:lang w:val="es-AR"/>
              </w:rPr>
              <w:t>Limited</w:t>
            </w:r>
            <w:proofErr w:type="spellEnd"/>
            <w:r w:rsidRPr="002158D4">
              <w:rPr>
                <w:rFonts w:ascii="Arial" w:hAnsi="Arial" w:cs="Arial"/>
                <w:color w:val="FFFFFF" w:themeColor="background1"/>
                <w:sz w:val="18"/>
                <w:lang w:val="es-AR"/>
              </w:rPr>
              <w:t xml:space="preserve"> y sus entidades relacionadas no prestan servicios a los clientes.</w:t>
            </w:r>
          </w:p>
          <w:p w14:paraId="75516B06" w14:textId="77777777" w:rsidR="001F1952" w:rsidRPr="000C1D9B" w:rsidRDefault="001F1952" w:rsidP="00C33BB6">
            <w:pPr>
              <w:spacing w:before="0" w:after="0"/>
              <w:jc w:val="both"/>
              <w:rPr>
                <w:rFonts w:ascii="Arial" w:hAnsi="Arial" w:cs="Arial"/>
                <w:color w:val="FFFFFF" w:themeColor="background1"/>
                <w:lang w:val="es-AR"/>
              </w:rPr>
            </w:pPr>
          </w:p>
        </w:tc>
      </w:tr>
    </w:tbl>
    <w:p w14:paraId="0D63307D" w14:textId="77777777" w:rsidR="001F1952" w:rsidRPr="00155D65" w:rsidRDefault="001F1952" w:rsidP="001F1952">
      <w:pPr>
        <w:pStyle w:val="acerca-kpmg"/>
        <w:mirrorIndents/>
        <w:rPr>
          <w:rFonts w:ascii="Arial" w:hAnsi="Arial" w:cs="Arial"/>
        </w:rPr>
      </w:pPr>
    </w:p>
    <w:tbl>
      <w:tblPr>
        <w:tblStyle w:val="Tabladelista5oscura-nfasis1"/>
        <w:tblW w:w="9638" w:type="dxa"/>
        <w:tblLook w:val="0600" w:firstRow="0" w:lastRow="0" w:firstColumn="0" w:lastColumn="0" w:noHBand="1" w:noVBand="1"/>
      </w:tblPr>
      <w:tblGrid>
        <w:gridCol w:w="9638"/>
      </w:tblGrid>
      <w:tr w:rsidR="001F1952" w:rsidRPr="00CB1EC2" w14:paraId="15294312" w14:textId="77777777" w:rsidTr="00C33BB6">
        <w:trPr>
          <w:trHeight w:val="1479"/>
        </w:trPr>
        <w:tc>
          <w:tcPr>
            <w:tcW w:w="9638" w:type="dxa"/>
          </w:tcPr>
          <w:p w14:paraId="3147D4EC" w14:textId="77777777" w:rsidR="001F1952" w:rsidRPr="00731B15" w:rsidRDefault="001F1952" w:rsidP="00C33BB6">
            <w:pPr>
              <w:pStyle w:val="Ttulo3"/>
              <w:spacing w:before="0" w:after="0"/>
              <w:mirrorIndents/>
              <w:rPr>
                <w:rFonts w:ascii="Arial" w:hAnsi="Arial" w:cs="Arial"/>
                <w:color w:val="FFFFFF" w:themeColor="background1"/>
                <w:szCs w:val="24"/>
                <w:lang w:val="es-MX"/>
              </w:rPr>
            </w:pPr>
            <w:r>
              <w:rPr>
                <w:rFonts w:ascii="Arial" w:hAnsi="Arial" w:cs="Arial"/>
                <w:color w:val="FFFFFF" w:themeColor="background1"/>
                <w:szCs w:val="24"/>
                <w:lang w:val="es-MX"/>
              </w:rPr>
              <w:t xml:space="preserve">Acerca de </w:t>
            </w:r>
            <w:r w:rsidRPr="00731B15">
              <w:rPr>
                <w:rFonts w:ascii="Arial" w:hAnsi="Arial" w:cs="Arial"/>
                <w:color w:val="FFFFFF" w:themeColor="background1"/>
                <w:szCs w:val="24"/>
                <w:lang w:val="es-MX"/>
              </w:rPr>
              <w:t xml:space="preserve">KPMG Argentina </w:t>
            </w:r>
          </w:p>
          <w:p w14:paraId="2BC02D57" w14:textId="77777777" w:rsidR="001F1952" w:rsidRDefault="001F1952" w:rsidP="00C33BB6">
            <w:pPr>
              <w:pStyle w:val="acerca-kpmg"/>
              <w:mirrorIndents/>
              <w:jc w:val="both"/>
              <w:rPr>
                <w:rFonts w:ascii="Arial" w:hAnsi="Arial" w:cs="Arial"/>
                <w:color w:val="FFFFFF" w:themeColor="background1"/>
              </w:rPr>
            </w:pPr>
          </w:p>
          <w:p w14:paraId="069820A6" w14:textId="77777777" w:rsidR="001F1952" w:rsidRPr="00331AD8" w:rsidRDefault="001F1952" w:rsidP="00C33BB6">
            <w:pPr>
              <w:pStyle w:val="acerca-kpmg"/>
              <w:mirrorIndents/>
              <w:jc w:val="both"/>
              <w:rPr>
                <w:rFonts w:ascii="Arial" w:hAnsi="Arial" w:cs="Arial"/>
                <w:color w:val="FFFFFF" w:themeColor="background1"/>
              </w:rPr>
            </w:pPr>
            <w:r w:rsidRPr="00331AD8">
              <w:rPr>
                <w:rFonts w:ascii="Arial" w:hAnsi="Arial" w:cs="Arial"/>
                <w:color w:val="FFFFFF" w:themeColor="background1"/>
              </w:rPr>
              <w:t xml:space="preserve">En Argentina </w:t>
            </w:r>
            <w:r>
              <w:rPr>
                <w:rFonts w:ascii="Arial" w:hAnsi="Arial" w:cs="Arial"/>
                <w:color w:val="FFFFFF" w:themeColor="background1"/>
              </w:rPr>
              <w:t>s</w:t>
            </w:r>
            <w:r w:rsidRPr="00031507">
              <w:rPr>
                <w:rFonts w:ascii="Arial" w:hAnsi="Arial" w:cs="Arial"/>
                <w:color w:val="FFFFFF" w:themeColor="background1"/>
              </w:rPr>
              <w:t>omos un equipo multidiscip</w:t>
            </w:r>
            <w:r>
              <w:rPr>
                <w:rFonts w:ascii="Arial" w:hAnsi="Arial" w:cs="Arial"/>
                <w:color w:val="FFFFFF" w:themeColor="background1"/>
              </w:rPr>
              <w:t>linario integrado por más de 1.500 profesionales</w:t>
            </w:r>
            <w:r w:rsidRPr="00031507">
              <w:rPr>
                <w:rFonts w:ascii="Arial" w:hAnsi="Arial" w:cs="Arial"/>
                <w:color w:val="FFFFFF" w:themeColor="background1"/>
              </w:rPr>
              <w:t xml:space="preserve"> que ofrecemos servicios de </w:t>
            </w:r>
            <w:r>
              <w:rPr>
                <w:rFonts w:ascii="Arial" w:hAnsi="Arial" w:cs="Arial"/>
                <w:color w:val="FFFFFF" w:themeColor="background1"/>
              </w:rPr>
              <w:t>asesoramiento</w:t>
            </w:r>
            <w:r w:rsidRPr="00031507">
              <w:rPr>
                <w:rFonts w:ascii="Arial" w:hAnsi="Arial" w:cs="Arial"/>
                <w:color w:val="FFFFFF" w:themeColor="background1"/>
              </w:rPr>
              <w:t>, impuestos</w:t>
            </w:r>
            <w:r>
              <w:rPr>
                <w:rFonts w:ascii="Arial" w:hAnsi="Arial" w:cs="Arial"/>
                <w:color w:val="FFFFFF" w:themeColor="background1"/>
              </w:rPr>
              <w:t xml:space="preserve"> y legales</w:t>
            </w:r>
            <w:r w:rsidRPr="00031507">
              <w:rPr>
                <w:rFonts w:ascii="Arial" w:hAnsi="Arial" w:cs="Arial"/>
                <w:color w:val="FFFFFF" w:themeColor="background1"/>
              </w:rPr>
              <w:t xml:space="preserve"> y auditoría</w:t>
            </w:r>
            <w:r w:rsidRPr="00331AD8">
              <w:rPr>
                <w:rFonts w:ascii="Arial" w:hAnsi="Arial" w:cs="Arial"/>
                <w:color w:val="FFFFFF" w:themeColor="background1"/>
              </w:rPr>
              <w:t xml:space="preserve">. </w:t>
            </w:r>
            <w:r>
              <w:rPr>
                <w:rFonts w:ascii="Arial" w:hAnsi="Arial" w:cs="Arial"/>
                <w:color w:val="FFFFFF" w:themeColor="background1"/>
              </w:rPr>
              <w:t>Contamos con</w:t>
            </w:r>
            <w:r w:rsidRPr="00331AD8">
              <w:rPr>
                <w:rFonts w:ascii="Arial" w:hAnsi="Arial" w:cs="Arial"/>
                <w:color w:val="FFFFFF" w:themeColor="background1"/>
              </w:rPr>
              <w:t xml:space="preserve"> oficinas en </w:t>
            </w:r>
            <w:r>
              <w:rPr>
                <w:rFonts w:ascii="Arial" w:hAnsi="Arial" w:cs="Arial"/>
                <w:color w:val="FFFFFF" w:themeColor="background1"/>
              </w:rPr>
              <w:t xml:space="preserve">la </w:t>
            </w:r>
            <w:r w:rsidRPr="001D3458">
              <w:rPr>
                <w:rFonts w:ascii="Arial" w:hAnsi="Arial" w:cs="Arial"/>
                <w:color w:val="FFFFFF" w:themeColor="background1"/>
              </w:rPr>
              <w:t>Ciudad de Buenos Aires</w:t>
            </w:r>
            <w:r>
              <w:rPr>
                <w:rFonts w:ascii="Arial" w:hAnsi="Arial" w:cs="Arial"/>
                <w:color w:val="FFFFFF" w:themeColor="background1"/>
              </w:rPr>
              <w:t xml:space="preserve">, </w:t>
            </w:r>
            <w:r w:rsidRPr="001D3458">
              <w:rPr>
                <w:rFonts w:ascii="Arial" w:hAnsi="Arial" w:cs="Arial"/>
                <w:color w:val="FFFFFF" w:themeColor="background1"/>
              </w:rPr>
              <w:t>Córdoba</w:t>
            </w:r>
            <w:r>
              <w:rPr>
                <w:rFonts w:ascii="Arial" w:hAnsi="Arial" w:cs="Arial"/>
                <w:color w:val="FFFFFF" w:themeColor="background1"/>
              </w:rPr>
              <w:t xml:space="preserve"> y </w:t>
            </w:r>
            <w:r w:rsidRPr="001D3458">
              <w:rPr>
                <w:rFonts w:ascii="Arial" w:hAnsi="Arial" w:cs="Arial"/>
                <w:color w:val="FFFFFF" w:themeColor="background1"/>
              </w:rPr>
              <w:t>Rosario</w:t>
            </w:r>
            <w:r>
              <w:rPr>
                <w:rFonts w:ascii="Arial" w:hAnsi="Arial" w:cs="Arial"/>
                <w:color w:val="FFFFFF" w:themeColor="background1"/>
              </w:rPr>
              <w:t>,</w:t>
            </w:r>
            <w:r w:rsidRPr="00331AD8">
              <w:rPr>
                <w:rFonts w:ascii="Arial" w:hAnsi="Arial" w:cs="Arial"/>
                <w:color w:val="FFFFFF" w:themeColor="background1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</w:rPr>
              <w:t>que</w:t>
            </w:r>
            <w:r w:rsidRPr="00331AD8">
              <w:rPr>
                <w:rFonts w:ascii="Arial" w:hAnsi="Arial" w:cs="Arial"/>
                <w:color w:val="FFFFFF" w:themeColor="background1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</w:rPr>
              <w:t>nos</w:t>
            </w:r>
            <w:r w:rsidRPr="00331AD8">
              <w:rPr>
                <w:rFonts w:ascii="Arial" w:hAnsi="Arial" w:cs="Arial"/>
                <w:color w:val="FFFFFF" w:themeColor="background1"/>
              </w:rPr>
              <w:t xml:space="preserve"> permiten consolidar </w:t>
            </w:r>
            <w:r>
              <w:rPr>
                <w:rFonts w:ascii="Arial" w:hAnsi="Arial" w:cs="Arial"/>
                <w:color w:val="FFFFFF" w:themeColor="background1"/>
              </w:rPr>
              <w:t>nuestra</w:t>
            </w:r>
            <w:r w:rsidRPr="00331AD8">
              <w:rPr>
                <w:rFonts w:ascii="Arial" w:hAnsi="Arial" w:cs="Arial"/>
                <w:color w:val="FFFFFF" w:themeColor="background1"/>
              </w:rPr>
              <w:t xml:space="preserve"> posición en el mercado y fortalecer </w:t>
            </w:r>
            <w:r>
              <w:rPr>
                <w:rFonts w:ascii="Arial" w:hAnsi="Arial" w:cs="Arial"/>
                <w:color w:val="FFFFFF" w:themeColor="background1"/>
              </w:rPr>
              <w:t>la</w:t>
            </w:r>
            <w:r w:rsidRPr="00331AD8">
              <w:rPr>
                <w:rFonts w:ascii="Arial" w:hAnsi="Arial" w:cs="Arial"/>
                <w:color w:val="FFFFFF" w:themeColor="background1"/>
              </w:rPr>
              <w:t xml:space="preserve"> presencia en los centros estratégicos </w:t>
            </w:r>
            <w:r>
              <w:rPr>
                <w:rFonts w:ascii="Arial" w:hAnsi="Arial" w:cs="Arial"/>
                <w:color w:val="FFFFFF" w:themeColor="background1"/>
              </w:rPr>
              <w:t>del país</w:t>
            </w:r>
            <w:r w:rsidRPr="00331AD8">
              <w:rPr>
                <w:rFonts w:ascii="Arial" w:hAnsi="Arial" w:cs="Arial"/>
                <w:color w:val="FFFFFF" w:themeColor="background1"/>
              </w:rPr>
              <w:t xml:space="preserve">. </w:t>
            </w:r>
          </w:p>
        </w:tc>
      </w:tr>
    </w:tbl>
    <w:p w14:paraId="6AFEB6F1" w14:textId="77777777" w:rsidR="001F1952" w:rsidRDefault="001F1952" w:rsidP="001F1952">
      <w:pPr>
        <w:pStyle w:val="acerca-kpmg"/>
        <w:mirrorIndents/>
        <w:rPr>
          <w:rFonts w:ascii="Arial" w:hAnsi="Arial" w:cs="Arial"/>
        </w:rPr>
      </w:pPr>
    </w:p>
    <w:p w14:paraId="48BD3E9A" w14:textId="77777777" w:rsidR="001F1952" w:rsidRPr="00207140" w:rsidRDefault="001F1952" w:rsidP="001F1952">
      <w:pPr>
        <w:pStyle w:val="acerca-kpmg"/>
        <w:mirrorIndents/>
        <w:rPr>
          <w:rFonts w:ascii="Arial" w:hAnsi="Arial" w:cs="Arial"/>
        </w:rPr>
      </w:pPr>
    </w:p>
    <w:tbl>
      <w:tblPr>
        <w:tblW w:w="9638" w:type="dxa"/>
        <w:jc w:val="center"/>
        <w:tblBorders>
          <w:top w:val="single" w:sz="18" w:space="0" w:color="4F81BD"/>
          <w:bottom w:val="single" w:sz="18" w:space="0" w:color="4F81BD"/>
        </w:tblBorders>
        <w:tblLook w:val="04A0" w:firstRow="1" w:lastRow="0" w:firstColumn="1" w:lastColumn="0" w:noHBand="0" w:noVBand="1"/>
      </w:tblPr>
      <w:tblGrid>
        <w:gridCol w:w="9638"/>
      </w:tblGrid>
      <w:tr w:rsidR="001F1952" w:rsidRPr="00207140" w14:paraId="5FFB8C20" w14:textId="77777777" w:rsidTr="00C33BB6">
        <w:trPr>
          <w:trHeight w:val="252"/>
          <w:jc w:val="center"/>
        </w:trPr>
        <w:tc>
          <w:tcPr>
            <w:tcW w:w="9638" w:type="dxa"/>
            <w:shd w:val="clear" w:color="auto" w:fill="DBE5F1"/>
          </w:tcPr>
          <w:p w14:paraId="1F1767F3" w14:textId="77777777" w:rsidR="001F1952" w:rsidRPr="00731B15" w:rsidRDefault="001F1952" w:rsidP="00C33BB6">
            <w:pPr>
              <w:ind w:left="90"/>
              <w:rPr>
                <w:rStyle w:val="Ttulodellibro"/>
                <w:rFonts w:ascii="Arial" w:hAnsi="Arial" w:cs="Arial"/>
                <w:color w:val="0070C0"/>
              </w:rPr>
            </w:pPr>
            <w:proofErr w:type="spellStart"/>
            <w:r w:rsidRPr="00731B15">
              <w:rPr>
                <w:rStyle w:val="Ttulodellibro"/>
                <w:rFonts w:ascii="Arial" w:hAnsi="Arial" w:cs="Arial"/>
                <w:color w:val="0070C0"/>
                <w:sz w:val="24"/>
              </w:rPr>
              <w:t>Contactos</w:t>
            </w:r>
            <w:proofErr w:type="spellEnd"/>
            <w:r w:rsidRPr="00731B15">
              <w:rPr>
                <w:rStyle w:val="Ttulodellibro"/>
                <w:rFonts w:ascii="Arial" w:hAnsi="Arial" w:cs="Arial"/>
                <w:color w:val="0070C0"/>
                <w:sz w:val="24"/>
              </w:rPr>
              <w:t xml:space="preserve"> de Prensa</w:t>
            </w:r>
          </w:p>
        </w:tc>
      </w:tr>
      <w:tr w:rsidR="001F1952" w:rsidRPr="00CB1EC2" w14:paraId="201CF483" w14:textId="77777777" w:rsidTr="00C33BB6">
        <w:trPr>
          <w:trHeight w:val="1759"/>
          <w:jc w:val="center"/>
        </w:trPr>
        <w:tc>
          <w:tcPr>
            <w:tcW w:w="9638" w:type="dxa"/>
            <w:tcBorders>
              <w:bottom w:val="nil"/>
            </w:tcBorders>
            <w:shd w:val="clear" w:color="auto" w:fill="DBE5F1"/>
          </w:tcPr>
          <w:p w14:paraId="503B7FF7" w14:textId="77777777" w:rsidR="001F1952" w:rsidRDefault="001F1952" w:rsidP="00C33BB6">
            <w:pPr>
              <w:spacing w:before="0" w:after="0"/>
              <w:ind w:left="90"/>
              <w:rPr>
                <w:rStyle w:val="Ttulodellibro"/>
                <w:rFonts w:ascii="Arial" w:hAnsi="Arial" w:cs="Arial"/>
                <w:color w:val="auto"/>
                <w:lang w:val="nl-NL"/>
              </w:rPr>
            </w:pPr>
            <w:r>
              <w:rPr>
                <w:rStyle w:val="Ttulodellibro"/>
                <w:rFonts w:ascii="Arial" w:hAnsi="Arial" w:cs="Arial"/>
                <w:color w:val="auto"/>
                <w:lang w:val="nl-NL"/>
              </w:rPr>
              <w:t>Claudio Negrete Williams</w:t>
            </w:r>
          </w:p>
          <w:p w14:paraId="15A9067E" w14:textId="77777777" w:rsidR="001F1952" w:rsidRPr="00174F81" w:rsidRDefault="001F1952" w:rsidP="00C33BB6">
            <w:pPr>
              <w:spacing w:before="0" w:after="0"/>
              <w:ind w:left="90"/>
              <w:rPr>
                <w:rStyle w:val="Ttulodellibro"/>
                <w:rFonts w:ascii="Arial" w:hAnsi="Arial" w:cs="Arial"/>
                <w:b w:val="0"/>
                <w:color w:val="auto"/>
                <w:szCs w:val="18"/>
                <w:lang w:val="nl-NL"/>
              </w:rPr>
            </w:pPr>
            <w:r w:rsidRPr="00174F81">
              <w:rPr>
                <w:rStyle w:val="Ttulodellibro"/>
                <w:rFonts w:ascii="Arial" w:hAnsi="Arial" w:cs="Arial"/>
                <w:b w:val="0"/>
                <w:color w:val="auto"/>
                <w:szCs w:val="18"/>
                <w:lang w:val="nl-NL"/>
              </w:rPr>
              <w:t xml:space="preserve">Gerente Senior </w:t>
            </w:r>
            <w:r w:rsidRPr="00174F81">
              <w:rPr>
                <w:rFonts w:ascii="Arial" w:hAnsi="Arial" w:cs="Arial"/>
                <w:bCs/>
                <w:color w:val="auto"/>
                <w:sz w:val="18"/>
                <w:szCs w:val="18"/>
                <w:lang w:val="es-AR"/>
              </w:rPr>
              <w:t>de Comunicaciones</w:t>
            </w:r>
            <w:r w:rsidRPr="00174F81">
              <w:rPr>
                <w:rFonts w:ascii="Arial" w:hAnsi="Arial" w:cs="Arial"/>
                <w:b/>
                <w:color w:val="auto"/>
                <w:sz w:val="18"/>
                <w:szCs w:val="18"/>
                <w:lang w:val="es-AR"/>
              </w:rPr>
              <w:t xml:space="preserve"> </w:t>
            </w:r>
          </w:p>
          <w:p w14:paraId="106AC87F" w14:textId="77777777" w:rsidR="001F1952" w:rsidRPr="00731B15" w:rsidRDefault="001F1952" w:rsidP="00C33BB6">
            <w:pPr>
              <w:spacing w:before="0" w:after="0"/>
              <w:ind w:left="90"/>
              <w:rPr>
                <w:rStyle w:val="Ttulodellibro"/>
                <w:rFonts w:ascii="Arial" w:hAnsi="Arial" w:cs="Arial"/>
                <w:b w:val="0"/>
                <w:color w:val="auto"/>
                <w:szCs w:val="18"/>
                <w:lang w:val="nl-NL"/>
              </w:rPr>
            </w:pPr>
            <w:r w:rsidRPr="00731B15">
              <w:rPr>
                <w:rStyle w:val="Ttulodellibro"/>
                <w:rFonts w:ascii="Arial" w:hAnsi="Arial" w:cs="Arial"/>
                <w:b w:val="0"/>
                <w:color w:val="auto"/>
                <w:szCs w:val="18"/>
                <w:lang w:val="nl-NL"/>
              </w:rPr>
              <w:t>KPMG Argentina</w:t>
            </w:r>
          </w:p>
          <w:p w14:paraId="6B9A76DE" w14:textId="77777777" w:rsidR="001F1952" w:rsidRPr="00731B15" w:rsidRDefault="00000000" w:rsidP="00C33BB6">
            <w:pPr>
              <w:spacing w:before="0" w:after="0"/>
              <w:ind w:left="90"/>
              <w:rPr>
                <w:rStyle w:val="Ttulodellibro"/>
                <w:rFonts w:ascii="Arial" w:hAnsi="Arial" w:cs="Arial"/>
                <w:b w:val="0"/>
                <w:color w:val="auto"/>
                <w:szCs w:val="18"/>
                <w:lang w:val="nl-NL"/>
              </w:rPr>
            </w:pPr>
            <w:hyperlink r:id="rId16" w:history="1">
              <w:r w:rsidR="001F1952" w:rsidRPr="00731B15">
                <w:rPr>
                  <w:rStyle w:val="Hipervnculo"/>
                  <w:rFonts w:ascii="Arial" w:hAnsi="Arial" w:cs="Arial"/>
                  <w:spacing w:val="5"/>
                  <w:sz w:val="18"/>
                  <w:szCs w:val="18"/>
                  <w:lang w:val="nl-NL"/>
                </w:rPr>
                <w:t>cnegretewilliams@kpmg.com.ar</w:t>
              </w:r>
            </w:hyperlink>
          </w:p>
          <w:p w14:paraId="1FCF0E79" w14:textId="77777777" w:rsidR="001F1952" w:rsidRPr="00731B15" w:rsidRDefault="001F1952" w:rsidP="00C33BB6">
            <w:pPr>
              <w:spacing w:before="0" w:after="0"/>
              <w:ind w:left="90"/>
              <w:rPr>
                <w:rStyle w:val="Ttulodellibro"/>
                <w:rFonts w:ascii="Arial" w:hAnsi="Arial" w:cs="Arial"/>
                <w:b w:val="0"/>
                <w:color w:val="auto"/>
                <w:szCs w:val="18"/>
                <w:lang w:val="nl-NL"/>
              </w:rPr>
            </w:pPr>
            <w:r>
              <w:rPr>
                <w:rStyle w:val="Ttulodellibro"/>
                <w:rFonts w:ascii="Arial" w:hAnsi="Arial" w:cs="Arial"/>
                <w:b w:val="0"/>
                <w:color w:val="auto"/>
                <w:szCs w:val="18"/>
                <w:lang w:val="nl-NL"/>
              </w:rPr>
              <w:t>54911-2670-0776</w:t>
            </w:r>
          </w:p>
          <w:p w14:paraId="656AFA1E" w14:textId="77777777" w:rsidR="001F1952" w:rsidRPr="00152ED4" w:rsidRDefault="001F1952" w:rsidP="00C33BB6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color w:val="auto"/>
                <w:sz w:val="18"/>
                <w:szCs w:val="18"/>
                <w:lang w:val="nl-NL"/>
              </w:rPr>
            </w:pPr>
          </w:p>
          <w:p w14:paraId="540A39A6" w14:textId="77777777" w:rsidR="001F1952" w:rsidRPr="00152ED4" w:rsidRDefault="00000000" w:rsidP="00C33BB6">
            <w:pPr>
              <w:pStyle w:val="contactos"/>
              <w:tabs>
                <w:tab w:val="left" w:pos="1845"/>
              </w:tabs>
              <w:ind w:left="90"/>
              <w:rPr>
                <w:rFonts w:ascii="Arial" w:hAnsi="Arial" w:cs="Arial"/>
                <w:color w:val="0070C0"/>
                <w:sz w:val="20"/>
                <w:szCs w:val="20"/>
                <w:lang w:val="nl-NL"/>
              </w:rPr>
            </w:pPr>
            <w:hyperlink r:id="rId17" w:history="1">
              <w:r w:rsidR="001F1952" w:rsidRPr="00152ED4">
                <w:rPr>
                  <w:rStyle w:val="Hipervnculo"/>
                  <w:rFonts w:ascii="Arial" w:hAnsi="Arial" w:cs="Arial"/>
                  <w:color w:val="0070C0"/>
                  <w:sz w:val="20"/>
                  <w:szCs w:val="20"/>
                  <w:lang w:val="nl-NL"/>
                </w:rPr>
                <w:t>https://home.kpmg/ar/es/home/media/press-releases.html</w:t>
              </w:r>
            </w:hyperlink>
          </w:p>
          <w:p w14:paraId="27526C99" w14:textId="77777777" w:rsidR="001F1952" w:rsidRPr="00152ED4" w:rsidRDefault="001F1952" w:rsidP="00C33BB6">
            <w:pPr>
              <w:pStyle w:val="contactos"/>
              <w:tabs>
                <w:tab w:val="left" w:pos="1845"/>
              </w:tabs>
              <w:ind w:left="90"/>
              <w:rPr>
                <w:rFonts w:ascii="Arial" w:hAnsi="Arial" w:cs="Arial"/>
                <w:sz w:val="28"/>
                <w:szCs w:val="28"/>
                <w:lang w:val="nl-NL"/>
              </w:rPr>
            </w:pPr>
          </w:p>
        </w:tc>
      </w:tr>
      <w:tr w:rsidR="001F1952" w:rsidRPr="00CB1EC2" w14:paraId="68FAA86D" w14:textId="77777777" w:rsidTr="00C33BB6">
        <w:trPr>
          <w:trHeight w:val="306"/>
          <w:jc w:val="center"/>
        </w:trPr>
        <w:tc>
          <w:tcPr>
            <w:tcW w:w="9638" w:type="dxa"/>
            <w:tcBorders>
              <w:bottom w:val="nil"/>
            </w:tcBorders>
            <w:shd w:val="clear" w:color="auto" w:fill="DBE5F1"/>
          </w:tcPr>
          <w:p w14:paraId="11DD11A5" w14:textId="77777777" w:rsidR="001F1952" w:rsidRPr="00152ED4" w:rsidRDefault="001F1952" w:rsidP="00C33BB6">
            <w:pPr>
              <w:spacing w:before="0" w:after="0"/>
              <w:rPr>
                <w:rStyle w:val="Ttulodellibro"/>
                <w:rFonts w:ascii="Arial" w:hAnsi="Arial" w:cs="Arial"/>
                <w:b w:val="0"/>
                <w:color w:val="auto"/>
                <w:lang w:val="nl-NL"/>
              </w:rPr>
            </w:pPr>
          </w:p>
        </w:tc>
      </w:tr>
    </w:tbl>
    <w:p w14:paraId="731C545B" w14:textId="77777777" w:rsidR="001F1952" w:rsidRPr="001F1952" w:rsidRDefault="001F1952" w:rsidP="001F1952">
      <w:pPr>
        <w:rPr>
          <w:rFonts w:ascii="Arial" w:hAnsi="Arial" w:cs="Arial"/>
          <w:lang w:val="nl-NL"/>
        </w:rPr>
      </w:pPr>
    </w:p>
    <w:tbl>
      <w:tblPr>
        <w:tblW w:w="4958" w:type="pct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638"/>
      </w:tblGrid>
      <w:tr w:rsidR="001F1952" w14:paraId="5BAFA652" w14:textId="77777777" w:rsidTr="00C33BB6">
        <w:trPr>
          <w:tblCellSpacing w:w="0" w:type="dxa"/>
          <w:jc w:val="center"/>
        </w:trPr>
        <w:tc>
          <w:tcPr>
            <w:tcW w:w="5000" w:type="pct"/>
            <w:tcBorders>
              <w:top w:val="single" w:sz="6" w:space="0" w:color="999999"/>
              <w:left w:val="nil"/>
              <w:bottom w:val="nil"/>
              <w:right w:val="nil"/>
            </w:tcBorders>
            <w:hideMark/>
          </w:tcPr>
          <w:tbl>
            <w:tblPr>
              <w:tblW w:w="17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6"/>
            </w:tblGrid>
            <w:tr w:rsidR="001F1952" w14:paraId="035DE3A6" w14:textId="77777777" w:rsidTr="00C33BB6">
              <w:trPr>
                <w:tblCellSpacing w:w="0" w:type="dxa"/>
              </w:trPr>
              <w:tc>
                <w:tcPr>
                  <w:tcW w:w="2750" w:type="pct"/>
                  <w:vAlign w:val="center"/>
                  <w:hideMark/>
                </w:tcPr>
                <w:tbl>
                  <w:tblPr>
                    <w:tblW w:w="43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22"/>
                    <w:gridCol w:w="661"/>
                  </w:tblGrid>
                  <w:tr w:rsidR="001F1952" w14:paraId="5EA56D9B" w14:textId="77777777" w:rsidTr="00C33BB6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14:paraId="20DD2371" w14:textId="77777777" w:rsidR="001F1952" w:rsidRDefault="00000000" w:rsidP="00C33BB6">
                        <w:pPr>
                          <w:pStyle w:val="bluelinksocial"/>
                          <w:spacing w:after="75" w:afterAutospacing="0"/>
                          <w:rPr>
                            <w:rFonts w:ascii="Arial" w:hAnsi="Arial" w:cs="Arial"/>
                            <w:sz w:val="17"/>
                            <w:szCs w:val="17"/>
                            <w:lang w:eastAsia="en-US"/>
                          </w:rPr>
                        </w:pPr>
                        <w:hyperlink r:id="rId18" w:tgtFrame="_blank" w:history="1">
                          <w:r w:rsidR="001F1952">
                            <w:rPr>
                              <w:rStyle w:val="Hipervnculo"/>
                              <w:rFonts w:ascii="Arial" w:hAnsi="Arial" w:cs="Arial"/>
                              <w:sz w:val="17"/>
                              <w:szCs w:val="17"/>
                              <w:lang w:eastAsia="en-US"/>
                            </w:rPr>
                            <w:t>kpmg.com.ar</w:t>
                          </w:r>
                        </w:hyperlink>
                      </w:p>
                    </w:tc>
                  </w:tr>
                  <w:tr w:rsidR="001F1952" w14:paraId="330633DE" w14:textId="77777777" w:rsidTr="00C33BB6">
                    <w:trPr>
                      <w:tblCellSpacing w:w="0" w:type="dxa"/>
                    </w:trPr>
                    <w:tc>
                      <w:tcPr>
                        <w:tcW w:w="2100" w:type="dxa"/>
                        <w:vAlign w:val="center"/>
                        <w:hideMark/>
                      </w:tcPr>
                      <w:tbl>
                        <w:tblPr>
                          <w:tblW w:w="425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0"/>
                          <w:gridCol w:w="530"/>
                          <w:gridCol w:w="530"/>
                          <w:gridCol w:w="530"/>
                        </w:tblGrid>
                        <w:tr w:rsidR="001F1952" w14:paraId="44F77EB0" w14:textId="77777777" w:rsidTr="00C33BB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42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30"/>
                              </w:tblGrid>
                              <w:tr w:rsidR="001F1952" w14:paraId="19305D92" w14:textId="77777777" w:rsidTr="00C33BB6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05" w:type="dxa"/>
                                    </w:tcMar>
                                    <w:vAlign w:val="center"/>
                                    <w:hideMark/>
                                  </w:tcPr>
                                  <w:p w14:paraId="0B6ABF0F" w14:textId="77777777" w:rsidR="001F1952" w:rsidRDefault="001F1952" w:rsidP="00C33BB6">
                                    <w:pPr>
                                      <w:rPr>
                                        <w:rFonts w:ascii="Calibri" w:hAnsi="Calibri" w:cs="Calibr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2BCD7AE3" wp14:editId="04F027D7">
                                          <wp:extent cx="269875" cy="269875"/>
                                          <wp:effectExtent l="0" t="0" r="0" b="0"/>
                                          <wp:docPr id="11" name="Picture 11" descr="Twitter">
                                            <a:hlinkClick xmlns:a="http://schemas.openxmlformats.org/drawingml/2006/main" r:id="rId19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Twitter">
                                                    <a:hlinkClick r:id="rId19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69875" cy="269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F826993" w14:textId="77777777" w:rsidR="001F1952" w:rsidRDefault="001F1952" w:rsidP="00C33BB6">
                              <w:pPr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42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30"/>
                              </w:tblGrid>
                              <w:tr w:rsidR="001F1952" w14:paraId="55FF05FC" w14:textId="77777777" w:rsidTr="00C33BB6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05" w:type="dxa"/>
                                    </w:tcMar>
                                    <w:vAlign w:val="center"/>
                                    <w:hideMark/>
                                  </w:tcPr>
                                  <w:p w14:paraId="79192DCD" w14:textId="77777777" w:rsidR="001F1952" w:rsidRDefault="001F1952" w:rsidP="00C33BB6">
                                    <w:pPr>
                                      <w:rPr>
                                        <w:rFonts w:ascii="Calibri" w:hAnsi="Calibri" w:cs="Calibr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0C3520A0" wp14:editId="6D315278">
                                          <wp:extent cx="269875" cy="269875"/>
                                          <wp:effectExtent l="0" t="0" r="0" b="0"/>
                                          <wp:docPr id="10" name="Picture 10" descr="Linkedin">
                                            <a:hlinkClick xmlns:a="http://schemas.openxmlformats.org/drawingml/2006/main" r:id="rId21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Linkedin">
                                                    <a:hlinkClick r:id="rId21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69875" cy="269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3957FC5" w14:textId="77777777" w:rsidR="001F1952" w:rsidRDefault="001F1952" w:rsidP="00C33BB6">
                              <w:pPr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42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30"/>
                              </w:tblGrid>
                              <w:tr w:rsidR="001F1952" w14:paraId="6354463C" w14:textId="77777777" w:rsidTr="00C33BB6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05" w:type="dxa"/>
                                    </w:tcMar>
                                    <w:vAlign w:val="center"/>
                                    <w:hideMark/>
                                  </w:tcPr>
                                  <w:p w14:paraId="09537FA3" w14:textId="77777777" w:rsidR="001F1952" w:rsidRDefault="001F1952" w:rsidP="00C33BB6">
                                    <w:pPr>
                                      <w:rPr>
                                        <w:rFonts w:ascii="Calibri" w:hAnsi="Calibri" w:cs="Calibr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1835B637" wp14:editId="5F9C0FC1">
                                          <wp:extent cx="269875" cy="269875"/>
                                          <wp:effectExtent l="0" t="0" r="0" b="0"/>
                                          <wp:docPr id="9" name="Picture 9" descr="Youtube">
                                            <a:hlinkClick xmlns:a="http://schemas.openxmlformats.org/drawingml/2006/main" r:id="rId23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Youtube">
                                                    <a:hlinkClick r:id="rId23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69875" cy="269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3176A94" w14:textId="77777777" w:rsidR="001F1952" w:rsidRDefault="001F1952" w:rsidP="00C33BB6">
                              <w:pPr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1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30"/>
                              </w:tblGrid>
                              <w:tr w:rsidR="001F1952" w14:paraId="22BA7CF4" w14:textId="77777777" w:rsidTr="00C33BB6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510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05" w:type="dxa"/>
                                    </w:tcMar>
                                    <w:vAlign w:val="center"/>
                                    <w:hideMark/>
                                  </w:tcPr>
                                  <w:p w14:paraId="24607022" w14:textId="77777777" w:rsidR="001F1952" w:rsidRDefault="001F1952" w:rsidP="00C33BB6">
                                    <w:pPr>
                                      <w:rPr>
                                        <w:rFonts w:ascii="Calibri" w:hAnsi="Calibri" w:cs="Calibri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01154CAA" wp14:editId="292AB84D">
                                          <wp:extent cx="269875" cy="269875"/>
                                          <wp:effectExtent l="0" t="0" r="0" b="0"/>
                                          <wp:docPr id="8" name="Picture 8" descr="Facebook">
                                            <a:hlinkClick xmlns:a="http://schemas.openxmlformats.org/drawingml/2006/main" r:id="rId25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Facebook">
                                                    <a:hlinkClick r:id="rId25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69875" cy="269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75863BF" w14:textId="77777777" w:rsidR="001F1952" w:rsidRDefault="001F1952" w:rsidP="00C33BB6">
                              <w:pPr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5C3F9C8" w14:textId="77777777" w:rsidR="001F1952" w:rsidRDefault="001F1952" w:rsidP="00C33BB6">
                        <w:pPr>
                          <w:rPr>
                            <w:rFonts w:asciiTheme="minorHAnsi" w:eastAsiaTheme="minorHAnsi" w:hAnsiTheme="minorHAnsi" w:cstheme="minorBid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0" w:type="dxa"/>
                        <w:vAlign w:val="center"/>
                        <w:hideMark/>
                      </w:tcPr>
                      <w:p w14:paraId="2A525150" w14:textId="77777777" w:rsidR="001F1952" w:rsidRDefault="001F1952" w:rsidP="00C33BB6">
                        <w:pPr>
                          <w:rPr>
                            <w:rFonts w:ascii="Calibri" w:hAnsi="Calibri" w:cs="Calibri"/>
                            <w:sz w:val="22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66ED31B2" wp14:editId="34986932">
                              <wp:extent cx="269875" cy="269875"/>
                              <wp:effectExtent l="0" t="0" r="0" b="0"/>
                              <wp:docPr id="7" name="Picture 7" descr="instagram">
                                <a:hlinkClick xmlns:a="http://schemas.openxmlformats.org/drawingml/2006/main" r:id="rId27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instagram">
                                        <a:hlinkClick r:id="rId27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9875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000A245" w14:textId="77777777" w:rsidR="001F1952" w:rsidRDefault="001F1952" w:rsidP="00C33BB6">
                  <w:pPr>
                    <w:rPr>
                      <w:rFonts w:asciiTheme="minorHAnsi" w:eastAsiaTheme="minorHAnsi" w:hAnsiTheme="minorHAnsi" w:cstheme="minorBidi"/>
                      <w:sz w:val="20"/>
                      <w:szCs w:val="20"/>
                    </w:rPr>
                  </w:pPr>
                </w:p>
              </w:tc>
            </w:tr>
          </w:tbl>
          <w:p w14:paraId="43F2FBB8" w14:textId="77777777" w:rsidR="001F1952" w:rsidRDefault="001F1952" w:rsidP="00C33BB6">
            <w:pPr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1F1952" w:rsidRPr="00815E0B" w14:paraId="3645B8C0" w14:textId="77777777" w:rsidTr="00C33BB6">
        <w:trPr>
          <w:tblCellSpacing w:w="0" w:type="dxa"/>
          <w:jc w:val="center"/>
        </w:trPr>
        <w:tc>
          <w:tcPr>
            <w:tcW w:w="5000" w:type="pct"/>
          </w:tcPr>
          <w:p w14:paraId="7C8C87E1" w14:textId="5C6C4D9E" w:rsidR="001F1952" w:rsidRPr="00815E0B" w:rsidRDefault="001F1952" w:rsidP="00C33BB6">
            <w:pPr>
              <w:rPr>
                <w:rFonts w:ascii="Calibri" w:hAnsi="Calibri" w:cs="Calibri"/>
                <w:color w:val="auto"/>
                <w:sz w:val="22"/>
                <w:lang w:val="es-AR"/>
              </w:rPr>
            </w:pPr>
            <w:r w:rsidRPr="001F1952">
              <w:rPr>
                <w:rFonts w:ascii="Arial" w:hAnsi="Arial" w:cs="Arial"/>
                <w:color w:val="747678"/>
                <w:sz w:val="15"/>
                <w:szCs w:val="15"/>
                <w:lang w:val="es-AR"/>
              </w:rPr>
              <w:t xml:space="preserve">© 2024 KPMG, una sociedad argentina y firma miembro de la organización global de firmas miembro independientes de KPMG afiliadas a KPMG International </w:t>
            </w:r>
            <w:proofErr w:type="spellStart"/>
            <w:r w:rsidRPr="001F1952">
              <w:rPr>
                <w:rFonts w:ascii="Arial" w:hAnsi="Arial" w:cs="Arial"/>
                <w:color w:val="747678"/>
                <w:sz w:val="15"/>
                <w:szCs w:val="15"/>
                <w:lang w:val="es-AR"/>
              </w:rPr>
              <w:t>Limited</w:t>
            </w:r>
            <w:proofErr w:type="spellEnd"/>
            <w:r w:rsidRPr="001F1952">
              <w:rPr>
                <w:rFonts w:ascii="Arial" w:hAnsi="Arial" w:cs="Arial"/>
                <w:color w:val="747678"/>
                <w:sz w:val="15"/>
                <w:szCs w:val="15"/>
                <w:lang w:val="es-AR"/>
              </w:rPr>
              <w:t>, una entidad privada inglesa limitada por garantía que no presta servicios a clientes. Derechos reservados.</w:t>
            </w:r>
          </w:p>
        </w:tc>
      </w:tr>
    </w:tbl>
    <w:p w14:paraId="3EF36CAE" w14:textId="77777777" w:rsidR="00731B15" w:rsidRPr="00731B15" w:rsidRDefault="00731B15" w:rsidP="00CC11C8">
      <w:pPr>
        <w:rPr>
          <w:rFonts w:ascii="Arial" w:hAnsi="Arial" w:cs="Arial"/>
        </w:rPr>
      </w:pPr>
    </w:p>
    <w:sectPr w:rsidR="00731B15" w:rsidRPr="00731B15" w:rsidSect="0003732D">
      <w:footerReference w:type="default" r:id="rId29"/>
      <w:headerReference w:type="first" r:id="rId30"/>
      <w:type w:val="continuous"/>
      <w:pgSz w:w="11907" w:h="16839" w:code="9"/>
      <w:pgMar w:top="1440" w:right="1107" w:bottom="1260" w:left="1080" w:header="720" w:footer="2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CA7A5" w14:textId="77777777" w:rsidR="0003732D" w:rsidRDefault="0003732D" w:rsidP="00942A00">
      <w:pPr>
        <w:spacing w:before="0" w:after="0"/>
      </w:pPr>
      <w:r>
        <w:separator/>
      </w:r>
    </w:p>
  </w:endnote>
  <w:endnote w:type="continuationSeparator" w:id="0">
    <w:p w14:paraId="0B3FDB15" w14:textId="77777777" w:rsidR="0003732D" w:rsidRDefault="0003732D" w:rsidP="00942A0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Bold">
    <w:altName w:val="Univers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84AEB" w14:textId="22D1F931" w:rsidR="00ED7A23" w:rsidRPr="007A0EF1" w:rsidRDefault="00ED7A23" w:rsidP="00ED7A23">
    <w:pPr>
      <w:rPr>
        <w:rFonts w:ascii="Calibri" w:hAnsi="Calibri"/>
        <w:color w:val="auto"/>
        <w:sz w:val="14"/>
        <w:szCs w:val="14"/>
        <w:lang w:val="es-AR"/>
      </w:rPr>
    </w:pPr>
    <w:r w:rsidRPr="007A0EF1">
      <w:rPr>
        <w:rFonts w:ascii="Arial" w:hAnsi="Arial" w:cs="Arial"/>
        <w:color w:val="333333"/>
        <w:sz w:val="14"/>
        <w:szCs w:val="14"/>
        <w:lang w:val="es-AR"/>
      </w:rPr>
      <w:t>© 202</w:t>
    </w:r>
    <w:r w:rsidR="00665FF4">
      <w:rPr>
        <w:rFonts w:ascii="Arial" w:hAnsi="Arial" w:cs="Arial"/>
        <w:color w:val="333333"/>
        <w:sz w:val="14"/>
        <w:szCs w:val="14"/>
        <w:lang w:val="es-AR"/>
      </w:rPr>
      <w:t>4</w:t>
    </w:r>
    <w:r w:rsidRPr="007A0EF1">
      <w:rPr>
        <w:rFonts w:ascii="Arial" w:hAnsi="Arial" w:cs="Arial"/>
        <w:color w:val="333333"/>
        <w:sz w:val="14"/>
        <w:szCs w:val="14"/>
        <w:lang w:val="es-AR"/>
      </w:rPr>
      <w:t xml:space="preserve"> KPMG, una sociedad argentina y firma miembro de la red de firmas miembro independientes de KPMG afiliadas a KPMG International Ltd., una entidad privada inglesa limitada por garantía que no presta servicios a clientes. Derechos reservados.”</w:t>
    </w:r>
  </w:p>
  <w:p w14:paraId="65E19FDF" w14:textId="3505B067" w:rsidR="00542CAE" w:rsidRDefault="00542CAE" w:rsidP="004C5F15">
    <w:pPr>
      <w:pStyle w:val="Copy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BC32B" w14:textId="389D16DA" w:rsidR="000A46AA" w:rsidRPr="004E4F48" w:rsidRDefault="000A46AA" w:rsidP="000A46AA">
    <w:pPr>
      <w:rPr>
        <w:rFonts w:ascii="Arial" w:hAnsi="Arial"/>
        <w:color w:val="000000"/>
        <w:szCs w:val="19"/>
        <w:lang w:val="es-AR"/>
      </w:rPr>
    </w:pPr>
    <w:bookmarkStart w:id="1" w:name="_Hlk92187697"/>
    <w:bookmarkStart w:id="2" w:name="_Hlk56001445"/>
  </w:p>
  <w:bookmarkEnd w:id="1"/>
  <w:p w14:paraId="293B2CCD" w14:textId="77777777" w:rsidR="000A46AA" w:rsidRDefault="000A46AA" w:rsidP="000A46AA">
    <w:pPr>
      <w:rPr>
        <w:rFonts w:ascii="Calibri" w:hAnsi="Calibri"/>
        <w:color w:val="auto"/>
        <w:sz w:val="22"/>
        <w:lang w:val="es-AR"/>
      </w:rPr>
    </w:pPr>
  </w:p>
  <w:p w14:paraId="3EDC866F" w14:textId="77777777" w:rsidR="000A46AA" w:rsidRPr="007A0EF1" w:rsidRDefault="000A46AA" w:rsidP="007A0EF1">
    <w:pPr>
      <w:rPr>
        <w:rFonts w:ascii="Calibri" w:hAnsi="Calibri"/>
        <w:color w:val="auto"/>
        <w:sz w:val="14"/>
        <w:szCs w:val="14"/>
        <w:lang w:val="es-AR"/>
      </w:rPr>
    </w:pPr>
  </w:p>
  <w:bookmarkEnd w:id="2"/>
  <w:p w14:paraId="0F1C7D53" w14:textId="2ECAD5F0" w:rsidR="0021481D" w:rsidRPr="009C2DF7" w:rsidRDefault="0021481D" w:rsidP="004C5F15">
    <w:pPr>
      <w:pStyle w:val="Copyrigh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57193" w14:textId="77777777" w:rsidR="0003732D" w:rsidRDefault="0003732D" w:rsidP="00942A00">
      <w:pPr>
        <w:spacing w:before="0" w:after="0"/>
      </w:pPr>
      <w:r>
        <w:separator/>
      </w:r>
    </w:p>
  </w:footnote>
  <w:footnote w:type="continuationSeparator" w:id="0">
    <w:p w14:paraId="619584BE" w14:textId="77777777" w:rsidR="0003732D" w:rsidRDefault="0003732D" w:rsidP="00942A0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63ED1" w14:textId="77777777" w:rsidR="00542CAE" w:rsidRDefault="00542CAE" w:rsidP="006C1171">
    <w:pPr>
      <w:pStyle w:val="Encabezado"/>
      <w:ind w:left="-540" w:right="-60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96A10D" wp14:editId="7153491D">
          <wp:simplePos x="0" y="0"/>
          <wp:positionH relativeFrom="page">
            <wp:align>left</wp:align>
          </wp:positionH>
          <wp:positionV relativeFrom="paragraph">
            <wp:posOffset>-221224</wp:posOffset>
          </wp:positionV>
          <wp:extent cx="7559675" cy="1824355"/>
          <wp:effectExtent l="0" t="0" r="3175" b="4445"/>
          <wp:wrapSquare wrapText="bothSides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824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80" w:type="dxa"/>
      <w:tblBorders>
        <w:bottom w:val="single" w:sz="18" w:space="0" w:color="4F81BD"/>
      </w:tblBorders>
      <w:tblLook w:val="04A0" w:firstRow="1" w:lastRow="0" w:firstColumn="1" w:lastColumn="0" w:noHBand="0" w:noVBand="1"/>
    </w:tblPr>
    <w:tblGrid>
      <w:gridCol w:w="5933"/>
      <w:gridCol w:w="4047"/>
    </w:tblGrid>
    <w:tr w:rsidR="0021481D" w14:paraId="1CD81E58" w14:textId="77777777" w:rsidTr="00015B5B">
      <w:trPr>
        <w:trHeight w:val="2540"/>
      </w:trPr>
      <w:tc>
        <w:tcPr>
          <w:tcW w:w="5933" w:type="dxa"/>
        </w:tcPr>
        <w:p w14:paraId="5989D25B" w14:textId="77777777" w:rsidR="0021481D" w:rsidRDefault="007A3116" w:rsidP="00F32F6A">
          <w:pPr>
            <w:pStyle w:val="Encabezado"/>
          </w:pPr>
          <w:r>
            <w:rPr>
              <w:noProof/>
            </w:rPr>
            <w:drawing>
              <wp:inline distT="0" distB="0" distL="0" distR="0" wp14:anchorId="502BBA4D" wp14:editId="3896EEEB">
                <wp:extent cx="1266825" cy="552450"/>
                <wp:effectExtent l="19050" t="0" r="9525" b="0"/>
                <wp:docPr id="76" name="Picture 76" descr="logo-estandar+descriptor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estandar+descriptor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7" w:type="dxa"/>
          <w:vAlign w:val="bottom"/>
        </w:tcPr>
        <w:p w14:paraId="1757C2C8" w14:textId="77777777" w:rsidR="0021481D" w:rsidRDefault="007A3116" w:rsidP="00BD3F11">
          <w:pPr>
            <w:pStyle w:val="Encabezado"/>
            <w:jc w:val="righ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1588A23" wp14:editId="0CB80F40">
                <wp:extent cx="2057400" cy="1647825"/>
                <wp:effectExtent l="19050" t="0" r="0" b="0"/>
                <wp:docPr id="77" name="Picture 77" descr="header-microf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eader-microf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1481D" w14:paraId="7335F52C" w14:textId="77777777" w:rsidTr="00015B5B">
      <w:trPr>
        <w:trHeight w:val="640"/>
      </w:trPr>
      <w:tc>
        <w:tcPr>
          <w:tcW w:w="5933" w:type="dxa"/>
          <w:shd w:val="clear" w:color="auto" w:fill="4F81BD"/>
        </w:tcPr>
        <w:p w14:paraId="2A10C57A" w14:textId="77777777" w:rsidR="0021481D" w:rsidRPr="00B2701B" w:rsidRDefault="0021481D" w:rsidP="00F32F6A">
          <w:pPr>
            <w:pStyle w:val="Ttulo"/>
          </w:pPr>
          <w:r>
            <w:t>Press Release</w:t>
          </w:r>
        </w:p>
      </w:tc>
      <w:tc>
        <w:tcPr>
          <w:tcW w:w="4047" w:type="dxa"/>
          <w:shd w:val="clear" w:color="auto" w:fill="4F81BD"/>
          <w:vAlign w:val="center"/>
        </w:tcPr>
        <w:p w14:paraId="607492F0" w14:textId="70ABF8D2" w:rsidR="0021481D" w:rsidRPr="00BD3F11" w:rsidRDefault="00D677FE" w:rsidP="00AF3DCC">
          <w:pPr>
            <w:pStyle w:val="fecha"/>
          </w:pPr>
          <w:r w:rsidRPr="00BD3F11">
            <w:fldChar w:fldCharType="begin"/>
          </w:r>
          <w:r w:rsidR="0021481D" w:rsidRPr="00BD3F11">
            <w:rPr>
              <w:lang w:val="es-AR"/>
            </w:rPr>
            <w:instrText xml:space="preserve"> TIME \@ "dd' de 'MMMM' de 'yyyy" </w:instrText>
          </w:r>
          <w:r w:rsidRPr="00BD3F11">
            <w:fldChar w:fldCharType="separate"/>
          </w:r>
          <w:r w:rsidR="0097444C">
            <w:rPr>
              <w:noProof/>
              <w:lang w:val="es-AR"/>
            </w:rPr>
            <w:t>07 de febrero de 2024</w:t>
          </w:r>
          <w:r w:rsidRPr="00BD3F11">
            <w:fldChar w:fldCharType="end"/>
          </w:r>
        </w:p>
      </w:tc>
    </w:tr>
  </w:tbl>
  <w:p w14:paraId="780BA014" w14:textId="77777777" w:rsidR="0021481D" w:rsidRDefault="0021481D" w:rsidP="00F32F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95843"/>
    <w:multiLevelType w:val="hybridMultilevel"/>
    <w:tmpl w:val="8E026E06"/>
    <w:lvl w:ilvl="0" w:tplc="6180E2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308FD"/>
    <w:multiLevelType w:val="multilevel"/>
    <w:tmpl w:val="277C0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EE3483"/>
    <w:multiLevelType w:val="hybridMultilevel"/>
    <w:tmpl w:val="8FF8837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0178C"/>
    <w:multiLevelType w:val="hybridMultilevel"/>
    <w:tmpl w:val="354AAF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C65FE"/>
    <w:multiLevelType w:val="hybridMultilevel"/>
    <w:tmpl w:val="D26AA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42279"/>
    <w:multiLevelType w:val="hybridMultilevel"/>
    <w:tmpl w:val="5C82635A"/>
    <w:lvl w:ilvl="0" w:tplc="8CD2C8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46F3A"/>
    <w:multiLevelType w:val="hybridMultilevel"/>
    <w:tmpl w:val="10B2C1F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F140D8"/>
    <w:multiLevelType w:val="hybridMultilevel"/>
    <w:tmpl w:val="C8C025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513117"/>
    <w:multiLevelType w:val="hybridMultilevel"/>
    <w:tmpl w:val="8DB283E6"/>
    <w:lvl w:ilvl="0" w:tplc="740C739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A67C29"/>
    <w:multiLevelType w:val="hybridMultilevel"/>
    <w:tmpl w:val="5D9C8422"/>
    <w:lvl w:ilvl="0" w:tplc="50F67AA4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5517BB"/>
    <w:multiLevelType w:val="hybridMultilevel"/>
    <w:tmpl w:val="4000B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DA7660"/>
    <w:multiLevelType w:val="multilevel"/>
    <w:tmpl w:val="232820A6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2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12" w15:restartNumberingAfterBreak="0">
    <w:nsid w:val="7B3B5416"/>
    <w:multiLevelType w:val="hybridMultilevel"/>
    <w:tmpl w:val="3F3E90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9272D7"/>
    <w:multiLevelType w:val="multilevel"/>
    <w:tmpl w:val="0ABE6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1651183">
    <w:abstractNumId w:val="0"/>
  </w:num>
  <w:num w:numId="2" w16cid:durableId="1425761804">
    <w:abstractNumId w:val="1"/>
  </w:num>
  <w:num w:numId="3" w16cid:durableId="1882589355">
    <w:abstractNumId w:val="5"/>
  </w:num>
  <w:num w:numId="4" w16cid:durableId="1064256198">
    <w:abstractNumId w:val="7"/>
  </w:num>
  <w:num w:numId="5" w16cid:durableId="179317367">
    <w:abstractNumId w:val="11"/>
  </w:num>
  <w:num w:numId="6" w16cid:durableId="780800428">
    <w:abstractNumId w:val="3"/>
  </w:num>
  <w:num w:numId="7" w16cid:durableId="55321215">
    <w:abstractNumId w:val="12"/>
  </w:num>
  <w:num w:numId="8" w16cid:durableId="1663243396">
    <w:abstractNumId w:val="4"/>
  </w:num>
  <w:num w:numId="9" w16cid:durableId="2117937997">
    <w:abstractNumId w:val="13"/>
  </w:num>
  <w:num w:numId="10" w16cid:durableId="80491877">
    <w:abstractNumId w:val="6"/>
  </w:num>
  <w:num w:numId="11" w16cid:durableId="1364285105">
    <w:abstractNumId w:val="10"/>
  </w:num>
  <w:num w:numId="12" w16cid:durableId="972057124">
    <w:abstractNumId w:val="8"/>
  </w:num>
  <w:num w:numId="13" w16cid:durableId="1637760751">
    <w:abstractNumId w:val="2"/>
  </w:num>
  <w:num w:numId="14" w16cid:durableId="1004185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9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D91"/>
    <w:rsid w:val="00015B5B"/>
    <w:rsid w:val="00016A7B"/>
    <w:rsid w:val="00031507"/>
    <w:rsid w:val="000316DE"/>
    <w:rsid w:val="00031CC1"/>
    <w:rsid w:val="0003732D"/>
    <w:rsid w:val="00046620"/>
    <w:rsid w:val="00050E2D"/>
    <w:rsid w:val="0005412E"/>
    <w:rsid w:val="00054C16"/>
    <w:rsid w:val="00062A4E"/>
    <w:rsid w:val="00062D90"/>
    <w:rsid w:val="00070F68"/>
    <w:rsid w:val="00075827"/>
    <w:rsid w:val="00075A3D"/>
    <w:rsid w:val="00083C36"/>
    <w:rsid w:val="00085855"/>
    <w:rsid w:val="000A08B8"/>
    <w:rsid w:val="000A46AA"/>
    <w:rsid w:val="000A5902"/>
    <w:rsid w:val="000B600B"/>
    <w:rsid w:val="000C1D9B"/>
    <w:rsid w:val="000C214E"/>
    <w:rsid w:val="000E2D54"/>
    <w:rsid w:val="000E2EBE"/>
    <w:rsid w:val="000E6E12"/>
    <w:rsid w:val="000E7A28"/>
    <w:rsid w:val="000F0DD2"/>
    <w:rsid w:val="000F58B1"/>
    <w:rsid w:val="000F7CBB"/>
    <w:rsid w:val="001130FC"/>
    <w:rsid w:val="001268C7"/>
    <w:rsid w:val="00126AD0"/>
    <w:rsid w:val="00132527"/>
    <w:rsid w:val="00135077"/>
    <w:rsid w:val="00143F73"/>
    <w:rsid w:val="00151FF7"/>
    <w:rsid w:val="00152ED4"/>
    <w:rsid w:val="00154FCF"/>
    <w:rsid w:val="00155579"/>
    <w:rsid w:val="00155D65"/>
    <w:rsid w:val="0017456C"/>
    <w:rsid w:val="00174F81"/>
    <w:rsid w:val="001752D5"/>
    <w:rsid w:val="00176056"/>
    <w:rsid w:val="001849F0"/>
    <w:rsid w:val="001A1D91"/>
    <w:rsid w:val="001A2D63"/>
    <w:rsid w:val="001B33B3"/>
    <w:rsid w:val="001B5F37"/>
    <w:rsid w:val="001D3458"/>
    <w:rsid w:val="001E063D"/>
    <w:rsid w:val="001E2B8C"/>
    <w:rsid w:val="001F1952"/>
    <w:rsid w:val="00205751"/>
    <w:rsid w:val="00207140"/>
    <w:rsid w:val="0021057B"/>
    <w:rsid w:val="0021481D"/>
    <w:rsid w:val="00223FBB"/>
    <w:rsid w:val="0022422B"/>
    <w:rsid w:val="00244788"/>
    <w:rsid w:val="002452B6"/>
    <w:rsid w:val="00245862"/>
    <w:rsid w:val="00263F27"/>
    <w:rsid w:val="00273855"/>
    <w:rsid w:val="00283543"/>
    <w:rsid w:val="00286C24"/>
    <w:rsid w:val="00295883"/>
    <w:rsid w:val="00295E19"/>
    <w:rsid w:val="002A0EB1"/>
    <w:rsid w:val="002C1A16"/>
    <w:rsid w:val="002C37C4"/>
    <w:rsid w:val="002D0EA2"/>
    <w:rsid w:val="002D70C9"/>
    <w:rsid w:val="002F21B7"/>
    <w:rsid w:val="002F6DE8"/>
    <w:rsid w:val="003251EB"/>
    <w:rsid w:val="003313BC"/>
    <w:rsid w:val="00331AD8"/>
    <w:rsid w:val="0034273D"/>
    <w:rsid w:val="00343318"/>
    <w:rsid w:val="003473E0"/>
    <w:rsid w:val="00347879"/>
    <w:rsid w:val="00355630"/>
    <w:rsid w:val="00355FC4"/>
    <w:rsid w:val="003563A8"/>
    <w:rsid w:val="003663BC"/>
    <w:rsid w:val="0036688E"/>
    <w:rsid w:val="00372133"/>
    <w:rsid w:val="00376AE8"/>
    <w:rsid w:val="003858E8"/>
    <w:rsid w:val="00395F5A"/>
    <w:rsid w:val="00397ABA"/>
    <w:rsid w:val="003A0F26"/>
    <w:rsid w:val="003A6C06"/>
    <w:rsid w:val="003C22D2"/>
    <w:rsid w:val="003C5B42"/>
    <w:rsid w:val="003D230C"/>
    <w:rsid w:val="003D6043"/>
    <w:rsid w:val="003D7A33"/>
    <w:rsid w:val="003E0201"/>
    <w:rsid w:val="003E045B"/>
    <w:rsid w:val="003E518D"/>
    <w:rsid w:val="003F0546"/>
    <w:rsid w:val="003F0655"/>
    <w:rsid w:val="003F2D62"/>
    <w:rsid w:val="003F5830"/>
    <w:rsid w:val="00400B4F"/>
    <w:rsid w:val="004031F7"/>
    <w:rsid w:val="004042C9"/>
    <w:rsid w:val="004254BB"/>
    <w:rsid w:val="004302EB"/>
    <w:rsid w:val="004331F2"/>
    <w:rsid w:val="00440696"/>
    <w:rsid w:val="00450F4A"/>
    <w:rsid w:val="00453B61"/>
    <w:rsid w:val="004542F2"/>
    <w:rsid w:val="00462120"/>
    <w:rsid w:val="004B750B"/>
    <w:rsid w:val="004C09DA"/>
    <w:rsid w:val="004C4140"/>
    <w:rsid w:val="004C5F15"/>
    <w:rsid w:val="004D761B"/>
    <w:rsid w:val="004E0259"/>
    <w:rsid w:val="004E3483"/>
    <w:rsid w:val="004E4F48"/>
    <w:rsid w:val="004E6928"/>
    <w:rsid w:val="004E7E81"/>
    <w:rsid w:val="004F31E1"/>
    <w:rsid w:val="00500AC5"/>
    <w:rsid w:val="005011FA"/>
    <w:rsid w:val="0050768C"/>
    <w:rsid w:val="005135A9"/>
    <w:rsid w:val="005147BF"/>
    <w:rsid w:val="00514D90"/>
    <w:rsid w:val="0052004F"/>
    <w:rsid w:val="00520855"/>
    <w:rsid w:val="00523703"/>
    <w:rsid w:val="00537BC3"/>
    <w:rsid w:val="00540334"/>
    <w:rsid w:val="00542CAE"/>
    <w:rsid w:val="0054644B"/>
    <w:rsid w:val="005613F7"/>
    <w:rsid w:val="00564130"/>
    <w:rsid w:val="005654D6"/>
    <w:rsid w:val="00571DF1"/>
    <w:rsid w:val="0058211F"/>
    <w:rsid w:val="005821E2"/>
    <w:rsid w:val="005939CF"/>
    <w:rsid w:val="005B5BBC"/>
    <w:rsid w:val="005C5FB8"/>
    <w:rsid w:val="005D0E40"/>
    <w:rsid w:val="005D2CA2"/>
    <w:rsid w:val="005E2E02"/>
    <w:rsid w:val="005F02D6"/>
    <w:rsid w:val="005F3912"/>
    <w:rsid w:val="00612E94"/>
    <w:rsid w:val="0061338A"/>
    <w:rsid w:val="006156CC"/>
    <w:rsid w:val="00615805"/>
    <w:rsid w:val="00620035"/>
    <w:rsid w:val="00623B50"/>
    <w:rsid w:val="006410C0"/>
    <w:rsid w:val="006422D9"/>
    <w:rsid w:val="00642969"/>
    <w:rsid w:val="00645A00"/>
    <w:rsid w:val="00645C3D"/>
    <w:rsid w:val="00645D2C"/>
    <w:rsid w:val="00654270"/>
    <w:rsid w:val="00664105"/>
    <w:rsid w:val="00664BD2"/>
    <w:rsid w:val="00665FF4"/>
    <w:rsid w:val="00671C67"/>
    <w:rsid w:val="006877C9"/>
    <w:rsid w:val="00687C64"/>
    <w:rsid w:val="006A0455"/>
    <w:rsid w:val="006A733E"/>
    <w:rsid w:val="006A77F6"/>
    <w:rsid w:val="006B4F6B"/>
    <w:rsid w:val="006B5E7A"/>
    <w:rsid w:val="006B6F0E"/>
    <w:rsid w:val="006C1171"/>
    <w:rsid w:val="006C44BC"/>
    <w:rsid w:val="006D72E4"/>
    <w:rsid w:val="006E4F1D"/>
    <w:rsid w:val="006E685F"/>
    <w:rsid w:val="006E798B"/>
    <w:rsid w:val="006F1A98"/>
    <w:rsid w:val="007062C0"/>
    <w:rsid w:val="00707D74"/>
    <w:rsid w:val="007100FB"/>
    <w:rsid w:val="007137B5"/>
    <w:rsid w:val="007218E7"/>
    <w:rsid w:val="00723ACB"/>
    <w:rsid w:val="00731B15"/>
    <w:rsid w:val="00742967"/>
    <w:rsid w:val="00743F0A"/>
    <w:rsid w:val="007551FA"/>
    <w:rsid w:val="007556A0"/>
    <w:rsid w:val="007713DE"/>
    <w:rsid w:val="0078244D"/>
    <w:rsid w:val="0078416B"/>
    <w:rsid w:val="00790714"/>
    <w:rsid w:val="007A0EF1"/>
    <w:rsid w:val="007A3116"/>
    <w:rsid w:val="007A61A3"/>
    <w:rsid w:val="007A68E0"/>
    <w:rsid w:val="007B4146"/>
    <w:rsid w:val="007B4F2D"/>
    <w:rsid w:val="007C1D62"/>
    <w:rsid w:val="007C552E"/>
    <w:rsid w:val="007C5B29"/>
    <w:rsid w:val="007D1CA8"/>
    <w:rsid w:val="007E56CC"/>
    <w:rsid w:val="007F3AD8"/>
    <w:rsid w:val="00800E1B"/>
    <w:rsid w:val="00810A9B"/>
    <w:rsid w:val="00817B6D"/>
    <w:rsid w:val="00817E8D"/>
    <w:rsid w:val="00821540"/>
    <w:rsid w:val="00832A6D"/>
    <w:rsid w:val="00837716"/>
    <w:rsid w:val="00842B6C"/>
    <w:rsid w:val="00847064"/>
    <w:rsid w:val="00852364"/>
    <w:rsid w:val="00854053"/>
    <w:rsid w:val="0085452B"/>
    <w:rsid w:val="008574C9"/>
    <w:rsid w:val="00866EFD"/>
    <w:rsid w:val="00880945"/>
    <w:rsid w:val="0088349C"/>
    <w:rsid w:val="00885FF8"/>
    <w:rsid w:val="0089316B"/>
    <w:rsid w:val="008951A2"/>
    <w:rsid w:val="00895773"/>
    <w:rsid w:val="00896428"/>
    <w:rsid w:val="008A65EF"/>
    <w:rsid w:val="008C2C04"/>
    <w:rsid w:val="008C350C"/>
    <w:rsid w:val="008D3B12"/>
    <w:rsid w:val="008D3E04"/>
    <w:rsid w:val="008D4170"/>
    <w:rsid w:val="008D5642"/>
    <w:rsid w:val="008E6251"/>
    <w:rsid w:val="00911047"/>
    <w:rsid w:val="0091474D"/>
    <w:rsid w:val="009159DB"/>
    <w:rsid w:val="009210A4"/>
    <w:rsid w:val="009241AC"/>
    <w:rsid w:val="00934EC4"/>
    <w:rsid w:val="009400F2"/>
    <w:rsid w:val="00942A00"/>
    <w:rsid w:val="00952D4F"/>
    <w:rsid w:val="009537DE"/>
    <w:rsid w:val="00955407"/>
    <w:rsid w:val="0095706B"/>
    <w:rsid w:val="009656EB"/>
    <w:rsid w:val="0097444C"/>
    <w:rsid w:val="00983D1C"/>
    <w:rsid w:val="009A48B3"/>
    <w:rsid w:val="009B0FF3"/>
    <w:rsid w:val="009B1E52"/>
    <w:rsid w:val="009B2060"/>
    <w:rsid w:val="009C1EF1"/>
    <w:rsid w:val="009C2DF7"/>
    <w:rsid w:val="009C317F"/>
    <w:rsid w:val="009E3B0E"/>
    <w:rsid w:val="009F0D78"/>
    <w:rsid w:val="009F23EC"/>
    <w:rsid w:val="009F2DEB"/>
    <w:rsid w:val="00A03CFE"/>
    <w:rsid w:val="00A10643"/>
    <w:rsid w:val="00A203FA"/>
    <w:rsid w:val="00A20FCD"/>
    <w:rsid w:val="00A210F7"/>
    <w:rsid w:val="00A25506"/>
    <w:rsid w:val="00A32757"/>
    <w:rsid w:val="00A3387A"/>
    <w:rsid w:val="00A37023"/>
    <w:rsid w:val="00A37525"/>
    <w:rsid w:val="00A432F1"/>
    <w:rsid w:val="00A45F94"/>
    <w:rsid w:val="00A46188"/>
    <w:rsid w:val="00A54E35"/>
    <w:rsid w:val="00A63668"/>
    <w:rsid w:val="00A63EBD"/>
    <w:rsid w:val="00A6516F"/>
    <w:rsid w:val="00A72815"/>
    <w:rsid w:val="00A80810"/>
    <w:rsid w:val="00A823ED"/>
    <w:rsid w:val="00A94568"/>
    <w:rsid w:val="00A965B0"/>
    <w:rsid w:val="00AA5969"/>
    <w:rsid w:val="00AA6ECD"/>
    <w:rsid w:val="00AB14BD"/>
    <w:rsid w:val="00AD3185"/>
    <w:rsid w:val="00AE6A14"/>
    <w:rsid w:val="00AE6BDF"/>
    <w:rsid w:val="00AF0FE1"/>
    <w:rsid w:val="00AF3DCC"/>
    <w:rsid w:val="00B01887"/>
    <w:rsid w:val="00B052D1"/>
    <w:rsid w:val="00B07C75"/>
    <w:rsid w:val="00B1544E"/>
    <w:rsid w:val="00B210B5"/>
    <w:rsid w:val="00B22835"/>
    <w:rsid w:val="00B2701B"/>
    <w:rsid w:val="00B30B65"/>
    <w:rsid w:val="00B53912"/>
    <w:rsid w:val="00B542F8"/>
    <w:rsid w:val="00B56092"/>
    <w:rsid w:val="00B5758E"/>
    <w:rsid w:val="00B62A25"/>
    <w:rsid w:val="00B63F7E"/>
    <w:rsid w:val="00B6789F"/>
    <w:rsid w:val="00B75CA8"/>
    <w:rsid w:val="00B94F50"/>
    <w:rsid w:val="00BB694E"/>
    <w:rsid w:val="00BB6CD0"/>
    <w:rsid w:val="00BC2D30"/>
    <w:rsid w:val="00BD3F11"/>
    <w:rsid w:val="00BE03D2"/>
    <w:rsid w:val="00BE1491"/>
    <w:rsid w:val="00C028B2"/>
    <w:rsid w:val="00C038A0"/>
    <w:rsid w:val="00C11563"/>
    <w:rsid w:val="00C119A5"/>
    <w:rsid w:val="00C134CC"/>
    <w:rsid w:val="00C16D3D"/>
    <w:rsid w:val="00C35615"/>
    <w:rsid w:val="00C55A47"/>
    <w:rsid w:val="00C62DEF"/>
    <w:rsid w:val="00C632C1"/>
    <w:rsid w:val="00C66B0C"/>
    <w:rsid w:val="00C67F8B"/>
    <w:rsid w:val="00C83396"/>
    <w:rsid w:val="00C85217"/>
    <w:rsid w:val="00C94F49"/>
    <w:rsid w:val="00C95B41"/>
    <w:rsid w:val="00C97DBB"/>
    <w:rsid w:val="00CA757D"/>
    <w:rsid w:val="00CB1C33"/>
    <w:rsid w:val="00CB1EC2"/>
    <w:rsid w:val="00CB2FAD"/>
    <w:rsid w:val="00CB35F6"/>
    <w:rsid w:val="00CC11C8"/>
    <w:rsid w:val="00CC4B57"/>
    <w:rsid w:val="00CD0CDB"/>
    <w:rsid w:val="00CD2B5B"/>
    <w:rsid w:val="00CD6001"/>
    <w:rsid w:val="00CE1678"/>
    <w:rsid w:val="00CF22F5"/>
    <w:rsid w:val="00CF249F"/>
    <w:rsid w:val="00CF58E9"/>
    <w:rsid w:val="00D02461"/>
    <w:rsid w:val="00D14483"/>
    <w:rsid w:val="00D16C4E"/>
    <w:rsid w:val="00D21D1B"/>
    <w:rsid w:val="00D35489"/>
    <w:rsid w:val="00D37474"/>
    <w:rsid w:val="00D3764B"/>
    <w:rsid w:val="00D4115D"/>
    <w:rsid w:val="00D42E50"/>
    <w:rsid w:val="00D51CF0"/>
    <w:rsid w:val="00D53F60"/>
    <w:rsid w:val="00D55C81"/>
    <w:rsid w:val="00D6384C"/>
    <w:rsid w:val="00D64AB0"/>
    <w:rsid w:val="00D677FE"/>
    <w:rsid w:val="00D731FD"/>
    <w:rsid w:val="00D7628B"/>
    <w:rsid w:val="00D84A7D"/>
    <w:rsid w:val="00D85C96"/>
    <w:rsid w:val="00D9333A"/>
    <w:rsid w:val="00DB03FF"/>
    <w:rsid w:val="00DC64FC"/>
    <w:rsid w:val="00DF5BB2"/>
    <w:rsid w:val="00E0598F"/>
    <w:rsid w:val="00E1497B"/>
    <w:rsid w:val="00E17636"/>
    <w:rsid w:val="00E22629"/>
    <w:rsid w:val="00E321F5"/>
    <w:rsid w:val="00E3358D"/>
    <w:rsid w:val="00E47593"/>
    <w:rsid w:val="00E57138"/>
    <w:rsid w:val="00E62E38"/>
    <w:rsid w:val="00E67876"/>
    <w:rsid w:val="00E7763E"/>
    <w:rsid w:val="00E927CA"/>
    <w:rsid w:val="00EA29B2"/>
    <w:rsid w:val="00EB567A"/>
    <w:rsid w:val="00EB78B0"/>
    <w:rsid w:val="00EC0B8B"/>
    <w:rsid w:val="00EC22E4"/>
    <w:rsid w:val="00EC6B2D"/>
    <w:rsid w:val="00ED3DBE"/>
    <w:rsid w:val="00ED7A23"/>
    <w:rsid w:val="00EE0CE7"/>
    <w:rsid w:val="00EE4C04"/>
    <w:rsid w:val="00EF07F6"/>
    <w:rsid w:val="00F01486"/>
    <w:rsid w:val="00F05D32"/>
    <w:rsid w:val="00F10D21"/>
    <w:rsid w:val="00F169E8"/>
    <w:rsid w:val="00F20F2A"/>
    <w:rsid w:val="00F23285"/>
    <w:rsid w:val="00F32F6A"/>
    <w:rsid w:val="00F336FC"/>
    <w:rsid w:val="00F40128"/>
    <w:rsid w:val="00F45B38"/>
    <w:rsid w:val="00F47BFF"/>
    <w:rsid w:val="00F52814"/>
    <w:rsid w:val="00F726A7"/>
    <w:rsid w:val="00F85E93"/>
    <w:rsid w:val="00F95DE9"/>
    <w:rsid w:val="00FB54FF"/>
    <w:rsid w:val="00FB5AA5"/>
    <w:rsid w:val="00FC3D40"/>
    <w:rsid w:val="00FC3EC2"/>
    <w:rsid w:val="00FD5370"/>
    <w:rsid w:val="00FE1D11"/>
    <w:rsid w:val="00FE3991"/>
    <w:rsid w:val="00FE76CC"/>
    <w:rsid w:val="00FF405B"/>
    <w:rsid w:val="00FF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559CF4"/>
  <w15:docId w15:val="{2B3797E3-584B-4424-97C1-75093E228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133"/>
    <w:pPr>
      <w:spacing w:before="120" w:after="120"/>
    </w:pPr>
    <w:rPr>
      <w:rFonts w:ascii="Univers 45 Light" w:hAnsi="Univers 45 Light"/>
      <w:color w:val="404040"/>
      <w:sz w:val="19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F32F6A"/>
    <w:pPr>
      <w:keepNext/>
      <w:spacing w:after="240"/>
      <w:outlineLvl w:val="0"/>
    </w:pPr>
    <w:rPr>
      <w:b/>
      <w:bCs/>
      <w:color w:val="1F497D"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72133"/>
    <w:pPr>
      <w:keepNext/>
      <w:spacing w:before="360"/>
      <w:outlineLvl w:val="1"/>
    </w:pPr>
    <w:rPr>
      <w:b/>
      <w:bCs/>
      <w:iCs/>
      <w:color w:val="1F497D"/>
      <w:sz w:val="24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20035"/>
    <w:pPr>
      <w:keepNext/>
      <w:spacing w:before="240" w:after="60"/>
      <w:outlineLvl w:val="2"/>
    </w:pPr>
    <w:rPr>
      <w:b/>
      <w:bCs/>
      <w:color w:val="808080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B600B"/>
    <w:pPr>
      <w:suppressAutoHyphens/>
      <w:spacing w:before="240" w:after="240"/>
      <w:outlineLvl w:val="0"/>
    </w:pPr>
    <w:rPr>
      <w:bCs/>
      <w:caps/>
      <w:color w:val="FFFFFF"/>
      <w:kern w:val="28"/>
      <w:sz w:val="48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0B600B"/>
    <w:rPr>
      <w:rFonts w:ascii="Univers 45 Light" w:hAnsi="Univers 45 Light"/>
      <w:bCs/>
      <w:caps/>
      <w:color w:val="FFFFFF"/>
      <w:kern w:val="28"/>
      <w:sz w:val="48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942A0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2A00"/>
  </w:style>
  <w:style w:type="paragraph" w:styleId="Piedepgina">
    <w:name w:val="footer"/>
    <w:basedOn w:val="Normal"/>
    <w:link w:val="PiedepginaCar"/>
    <w:uiPriority w:val="99"/>
    <w:unhideWhenUsed/>
    <w:rsid w:val="00942A0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2A00"/>
  </w:style>
  <w:style w:type="table" w:styleId="Tablaconcuadrcula">
    <w:name w:val="Table Grid"/>
    <w:basedOn w:val="Tablanormal"/>
    <w:uiPriority w:val="59"/>
    <w:rsid w:val="00FE39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echa">
    <w:name w:val="fecha"/>
    <w:basedOn w:val="Encabezado"/>
    <w:link w:val="fechaChar"/>
    <w:qFormat/>
    <w:rsid w:val="000B600B"/>
    <w:pPr>
      <w:spacing w:after="0"/>
      <w:jc w:val="right"/>
    </w:pPr>
    <w:rPr>
      <w:b/>
      <w:color w:val="FFFFFF"/>
      <w:sz w:val="18"/>
    </w:rPr>
  </w:style>
  <w:style w:type="paragraph" w:customStyle="1" w:styleId="Copyright">
    <w:name w:val="Copyright"/>
    <w:basedOn w:val="Piedepgina"/>
    <w:link w:val="CopyrightChar"/>
    <w:qFormat/>
    <w:rsid w:val="004C5F15"/>
    <w:rPr>
      <w:color w:val="7F7F7F"/>
      <w:sz w:val="16"/>
      <w:lang w:val="es-AR"/>
    </w:rPr>
  </w:style>
  <w:style w:type="character" w:customStyle="1" w:styleId="fechaChar">
    <w:name w:val="fecha Char"/>
    <w:basedOn w:val="EncabezadoCar"/>
    <w:link w:val="fecha"/>
    <w:rsid w:val="000B600B"/>
    <w:rPr>
      <w:rFonts w:ascii="Univers 45 Light" w:hAnsi="Univers 45 Light"/>
      <w:b/>
      <w:color w:val="FFFFFF"/>
      <w:sz w:val="18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4053"/>
    <w:pPr>
      <w:spacing w:after="0"/>
    </w:pPr>
    <w:rPr>
      <w:rFonts w:ascii="Tahoma" w:hAnsi="Tahoma" w:cs="Tahoma"/>
      <w:sz w:val="16"/>
      <w:szCs w:val="16"/>
    </w:rPr>
  </w:style>
  <w:style w:type="character" w:customStyle="1" w:styleId="CopyrightChar">
    <w:name w:val="Copyright Char"/>
    <w:basedOn w:val="PiedepginaCar"/>
    <w:link w:val="Copyright"/>
    <w:rsid w:val="004C5F15"/>
    <w:rPr>
      <w:rFonts w:ascii="Univers 45 Light" w:hAnsi="Univers 45 Light"/>
      <w:color w:val="7F7F7F"/>
      <w:sz w:val="16"/>
      <w:szCs w:val="22"/>
      <w:lang w:val="es-AR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4053"/>
    <w:rPr>
      <w:rFonts w:ascii="Tahoma" w:hAnsi="Tahoma" w:cs="Tahoma"/>
      <w:sz w:val="16"/>
      <w:szCs w:val="16"/>
    </w:rPr>
  </w:style>
  <w:style w:type="paragraph" w:customStyle="1" w:styleId="Pa3">
    <w:name w:val="Pa3"/>
    <w:basedOn w:val="Normal"/>
    <w:next w:val="Normal"/>
    <w:uiPriority w:val="99"/>
    <w:rsid w:val="00854053"/>
    <w:pPr>
      <w:autoSpaceDE w:val="0"/>
      <w:autoSpaceDN w:val="0"/>
      <w:adjustRightInd w:val="0"/>
      <w:spacing w:after="0" w:line="241" w:lineRule="atLeast"/>
    </w:pPr>
    <w:rPr>
      <w:rFonts w:ascii="Univers-Bold" w:hAnsi="Univers-Bold"/>
      <w:sz w:val="24"/>
      <w:szCs w:val="24"/>
    </w:rPr>
  </w:style>
  <w:style w:type="character" w:customStyle="1" w:styleId="A4">
    <w:name w:val="A4"/>
    <w:uiPriority w:val="99"/>
    <w:rsid w:val="00854053"/>
    <w:rPr>
      <w:rFonts w:cs="Univers-Bold"/>
      <w:color w:val="808285"/>
      <w:sz w:val="18"/>
      <w:szCs w:val="18"/>
    </w:rPr>
  </w:style>
  <w:style w:type="character" w:styleId="Ttulodellibro">
    <w:name w:val="Book Title"/>
    <w:basedOn w:val="Fuentedeprrafopredeter"/>
    <w:uiPriority w:val="33"/>
    <w:qFormat/>
    <w:rsid w:val="007F3AD8"/>
    <w:rPr>
      <w:rFonts w:ascii="Univers 45 Light" w:hAnsi="Univers 45 Light"/>
      <w:b/>
      <w:bCs/>
      <w:color w:val="7F7F7F"/>
      <w:spacing w:val="5"/>
      <w:sz w:val="18"/>
    </w:rPr>
  </w:style>
  <w:style w:type="character" w:customStyle="1" w:styleId="Ttulo1Car">
    <w:name w:val="Título 1 Car"/>
    <w:basedOn w:val="Fuentedeprrafopredeter"/>
    <w:link w:val="Ttulo1"/>
    <w:uiPriority w:val="9"/>
    <w:rsid w:val="00F32F6A"/>
    <w:rPr>
      <w:rFonts w:ascii="Univers 45 Light" w:hAnsi="Univers 45 Light"/>
      <w:b/>
      <w:bCs/>
      <w:color w:val="1F497D"/>
      <w:kern w:val="32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A965B0"/>
    <w:pPr>
      <w:spacing w:after="240"/>
      <w:outlineLvl w:val="1"/>
    </w:pPr>
    <w:rPr>
      <w:color w:val="365F91"/>
      <w:sz w:val="28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965B0"/>
    <w:rPr>
      <w:rFonts w:ascii="Univers 45 Light" w:hAnsi="Univers 45 Light"/>
      <w:color w:val="365F91"/>
      <w:sz w:val="28"/>
      <w:szCs w:val="24"/>
    </w:rPr>
  </w:style>
  <w:style w:type="paragraph" w:customStyle="1" w:styleId="contactos">
    <w:name w:val="contactos"/>
    <w:basedOn w:val="Normal"/>
    <w:link w:val="contactosChar"/>
    <w:qFormat/>
    <w:rsid w:val="002452B6"/>
    <w:pPr>
      <w:spacing w:before="0" w:after="0"/>
    </w:pPr>
    <w:rPr>
      <w:sz w:val="16"/>
      <w:lang w:val="es-AR"/>
    </w:rPr>
  </w:style>
  <w:style w:type="character" w:customStyle="1" w:styleId="Ttulo2Car">
    <w:name w:val="Título 2 Car"/>
    <w:basedOn w:val="Fuentedeprrafopredeter"/>
    <w:link w:val="Ttulo2"/>
    <w:uiPriority w:val="9"/>
    <w:rsid w:val="00372133"/>
    <w:rPr>
      <w:rFonts w:ascii="Univers 45 Light" w:hAnsi="Univers 45 Light"/>
      <w:b/>
      <w:bCs/>
      <w:iCs/>
      <w:color w:val="1F497D"/>
      <w:sz w:val="24"/>
      <w:szCs w:val="28"/>
    </w:rPr>
  </w:style>
  <w:style w:type="character" w:customStyle="1" w:styleId="contactosChar">
    <w:name w:val="contactos Char"/>
    <w:basedOn w:val="Fuentedeprrafopredeter"/>
    <w:link w:val="contactos"/>
    <w:rsid w:val="002452B6"/>
    <w:rPr>
      <w:rFonts w:ascii="Univers 45 Light" w:hAnsi="Univers 45 Light"/>
      <w:color w:val="404040"/>
      <w:sz w:val="16"/>
      <w:szCs w:val="22"/>
      <w:lang w:val="es-AR"/>
    </w:rPr>
  </w:style>
  <w:style w:type="character" w:customStyle="1" w:styleId="Ttulo3Car">
    <w:name w:val="Título 3 Car"/>
    <w:basedOn w:val="Fuentedeprrafopredeter"/>
    <w:link w:val="Ttulo3"/>
    <w:uiPriority w:val="9"/>
    <w:rsid w:val="00620035"/>
    <w:rPr>
      <w:rFonts w:ascii="Univers 45 Light" w:eastAsia="Times New Roman" w:hAnsi="Univers 45 Light" w:cs="Times New Roman"/>
      <w:b/>
      <w:bCs/>
      <w:color w:val="808080"/>
      <w:sz w:val="24"/>
      <w:szCs w:val="26"/>
    </w:rPr>
  </w:style>
  <w:style w:type="character" w:styleId="nfasis">
    <w:name w:val="Emphasis"/>
    <w:basedOn w:val="Fuentedeprrafopredeter"/>
    <w:uiPriority w:val="20"/>
    <w:qFormat/>
    <w:rsid w:val="00620035"/>
    <w:rPr>
      <w:rFonts w:ascii="Univers 45 Light" w:hAnsi="Univers 45 Light"/>
      <w:i/>
      <w:iCs/>
    </w:rPr>
  </w:style>
  <w:style w:type="character" w:styleId="nfasisintenso">
    <w:name w:val="Intense Emphasis"/>
    <w:basedOn w:val="Fuentedeprrafopredeter"/>
    <w:uiPriority w:val="21"/>
    <w:qFormat/>
    <w:rsid w:val="00620035"/>
    <w:rPr>
      <w:rFonts w:ascii="Univers 45 Light" w:hAnsi="Univers 45 Light"/>
      <w:bCs/>
      <w:i/>
      <w:iCs/>
      <w:color w:val="1F497D"/>
    </w:rPr>
  </w:style>
  <w:style w:type="character" w:styleId="nfasissutil">
    <w:name w:val="Subtle Emphasis"/>
    <w:basedOn w:val="Fuentedeprrafopredeter"/>
    <w:uiPriority w:val="19"/>
    <w:qFormat/>
    <w:rsid w:val="00620035"/>
    <w:rPr>
      <w:rFonts w:ascii="Univers 45 Light" w:hAnsi="Univers 45 Light"/>
      <w:i/>
      <w:iCs/>
      <w:color w:val="365F91"/>
    </w:rPr>
  </w:style>
  <w:style w:type="paragraph" w:styleId="Prrafodelista">
    <w:name w:val="List Paragraph"/>
    <w:basedOn w:val="Normal"/>
    <w:uiPriority w:val="34"/>
    <w:qFormat/>
    <w:rsid w:val="001849F0"/>
    <w:pPr>
      <w:ind w:left="720"/>
    </w:pPr>
  </w:style>
  <w:style w:type="paragraph" w:customStyle="1" w:styleId="acerca-kpmg">
    <w:name w:val="acerca-kpmg"/>
    <w:link w:val="acerca-kpmgChar"/>
    <w:qFormat/>
    <w:rsid w:val="004C5F15"/>
    <w:rPr>
      <w:rFonts w:ascii="Univers 45 Light" w:hAnsi="Univers 45 Light"/>
      <w:color w:val="404040"/>
      <w:sz w:val="18"/>
      <w:szCs w:val="22"/>
      <w:lang w:val="es-AR"/>
    </w:rPr>
  </w:style>
  <w:style w:type="character" w:customStyle="1" w:styleId="acerca-kpmgChar">
    <w:name w:val="acerca-kpmg Char"/>
    <w:basedOn w:val="CopyrightChar"/>
    <w:link w:val="acerca-kpmg"/>
    <w:rsid w:val="004C5F15"/>
    <w:rPr>
      <w:rFonts w:ascii="Univers 45 Light" w:hAnsi="Univers 45 Light"/>
      <w:color w:val="404040"/>
      <w:sz w:val="18"/>
      <w:szCs w:val="22"/>
      <w:lang w:val="es-AR" w:eastAsia="en-US" w:bidi="ar-SA"/>
    </w:rPr>
  </w:style>
  <w:style w:type="paragraph" w:customStyle="1" w:styleId="Volanta">
    <w:name w:val="Volanta"/>
    <w:link w:val="VolantaChar"/>
    <w:qFormat/>
    <w:rsid w:val="008D5642"/>
    <w:rPr>
      <w:rFonts w:ascii="Univers 45 Light" w:hAnsi="Univers 45 Light"/>
      <w:b/>
      <w:bCs/>
      <w:color w:val="7F7F7F"/>
      <w:kern w:val="32"/>
      <w:sz w:val="24"/>
      <w:szCs w:val="32"/>
    </w:rPr>
  </w:style>
  <w:style w:type="paragraph" w:styleId="Cita">
    <w:name w:val="Quote"/>
    <w:next w:val="Normal"/>
    <w:link w:val="CitaCar"/>
    <w:uiPriority w:val="29"/>
    <w:qFormat/>
    <w:rsid w:val="00046620"/>
    <w:pPr>
      <w:framePr w:hSpace="144" w:vSpace="144" w:wrap="around" w:vAnchor="text" w:hAnchor="text" w:y="1"/>
    </w:pPr>
    <w:rPr>
      <w:rFonts w:ascii="Univers 45 Light" w:hAnsi="Univers 45 Light"/>
      <w:b/>
      <w:i/>
      <w:iCs/>
      <w:color w:val="4F81BD"/>
      <w:sz w:val="19"/>
      <w:szCs w:val="22"/>
    </w:rPr>
  </w:style>
  <w:style w:type="character" w:customStyle="1" w:styleId="VolantaChar">
    <w:name w:val="Volanta Char"/>
    <w:basedOn w:val="Ttulo1Car"/>
    <w:link w:val="Volanta"/>
    <w:rsid w:val="008D5642"/>
    <w:rPr>
      <w:rFonts w:ascii="Univers 45 Light" w:hAnsi="Univers 45 Light"/>
      <w:b/>
      <w:bCs/>
      <w:color w:val="7F7F7F"/>
      <w:kern w:val="32"/>
      <w:sz w:val="24"/>
      <w:szCs w:val="32"/>
      <w:lang w:val="en-US" w:eastAsia="en-US" w:bidi="ar-SA"/>
    </w:rPr>
  </w:style>
  <w:style w:type="character" w:customStyle="1" w:styleId="CitaCar">
    <w:name w:val="Cita Car"/>
    <w:basedOn w:val="Fuentedeprrafopredeter"/>
    <w:link w:val="Cita"/>
    <w:uiPriority w:val="29"/>
    <w:rsid w:val="00046620"/>
    <w:rPr>
      <w:rFonts w:ascii="Univers 45 Light" w:hAnsi="Univers 45 Light"/>
      <w:b/>
      <w:i/>
      <w:iCs/>
      <w:color w:val="4F81BD"/>
      <w:sz w:val="19"/>
      <w:szCs w:val="22"/>
      <w:lang w:val="en-US"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3F1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3F11"/>
    <w:rPr>
      <w:rFonts w:ascii="Univers 45 Light" w:hAnsi="Univers 45 Light"/>
      <w:color w:val="404040"/>
    </w:rPr>
  </w:style>
  <w:style w:type="character" w:styleId="Refdecomentario">
    <w:name w:val="annotation reference"/>
    <w:basedOn w:val="Fuentedeprrafopredeter"/>
    <w:uiPriority w:val="99"/>
    <w:semiHidden/>
    <w:rsid w:val="00BD3F11"/>
    <w:rPr>
      <w:sz w:val="16"/>
    </w:rPr>
  </w:style>
  <w:style w:type="paragraph" w:styleId="Textonotapie">
    <w:name w:val="footnote text"/>
    <w:basedOn w:val="Normal"/>
    <w:link w:val="TextonotapieCar"/>
    <w:uiPriority w:val="99"/>
    <w:unhideWhenUsed/>
    <w:rsid w:val="00A63668"/>
    <w:pPr>
      <w:spacing w:before="0" w:after="0"/>
    </w:pPr>
    <w:rPr>
      <w:rFonts w:ascii="Calibri" w:eastAsia="Calibri" w:hAnsi="Calibri"/>
      <w:color w:val="auto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63668"/>
    <w:rPr>
      <w:rFonts w:ascii="Calibri" w:eastAsia="Calibri" w:hAnsi="Calibri" w:cs="Times New Roman"/>
    </w:rPr>
  </w:style>
  <w:style w:type="character" w:styleId="Refdenotaalpie">
    <w:name w:val="footnote reference"/>
    <w:basedOn w:val="Fuentedeprrafopredeter"/>
    <w:uiPriority w:val="99"/>
    <w:unhideWhenUsed/>
    <w:rsid w:val="00A63668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821540"/>
    <w:rPr>
      <w:color w:val="0000FF"/>
      <w:u w:val="single"/>
    </w:rPr>
  </w:style>
  <w:style w:type="paragraph" w:customStyle="1" w:styleId="headadjust">
    <w:name w:val="headadjust"/>
    <w:basedOn w:val="Normal"/>
    <w:rsid w:val="005E2E02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val="es-ES" w:eastAsia="es-ES"/>
    </w:rPr>
  </w:style>
  <w:style w:type="character" w:customStyle="1" w:styleId="headtext">
    <w:name w:val="headtext"/>
    <w:basedOn w:val="Fuentedeprrafopredeter"/>
    <w:rsid w:val="005E2E02"/>
  </w:style>
  <w:style w:type="paragraph" w:styleId="NormalWeb">
    <w:name w:val="Normal (Web)"/>
    <w:basedOn w:val="Normal"/>
    <w:uiPriority w:val="99"/>
    <w:unhideWhenUsed/>
    <w:rsid w:val="00645D2C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ED3DBE"/>
    <w:rPr>
      <w:color w:val="800080" w:themeColor="followedHyperlink"/>
      <w:u w:val="single"/>
    </w:rPr>
  </w:style>
  <w:style w:type="table" w:styleId="Tabladelista5oscura-nfasis5">
    <w:name w:val="List Table 5 Dark Accent 5"/>
    <w:basedOn w:val="Tablanormal"/>
    <w:uiPriority w:val="50"/>
    <w:rsid w:val="00331AD8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CountryTitleBackCover">
    <w:name w:val="Country/Title (Back Cover)"/>
    <w:basedOn w:val="Normal"/>
    <w:uiPriority w:val="99"/>
    <w:rsid w:val="003F0546"/>
    <w:pPr>
      <w:suppressAutoHyphens/>
      <w:autoSpaceDE w:val="0"/>
      <w:autoSpaceDN w:val="0"/>
      <w:adjustRightInd w:val="0"/>
      <w:spacing w:before="0" w:after="0" w:line="240" w:lineRule="atLeast"/>
      <w:textAlignment w:val="center"/>
    </w:pPr>
    <w:rPr>
      <w:rFonts w:cs="Univers 45 Light"/>
      <w:b/>
      <w:bCs/>
      <w:color w:val="000000"/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86C24"/>
    <w:pPr>
      <w:spacing w:before="0" w:after="0"/>
    </w:pPr>
    <w:rPr>
      <w:rFonts w:ascii="Calibri" w:hAnsi="Calibri"/>
      <w:color w:val="auto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86C24"/>
    <w:rPr>
      <w:sz w:val="22"/>
      <w:szCs w:val="21"/>
    </w:rPr>
  </w:style>
  <w:style w:type="paragraph" w:customStyle="1" w:styleId="Default">
    <w:name w:val="Default"/>
    <w:rsid w:val="00E321F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9F23EC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DF5BB2"/>
    <w:rPr>
      <w:b/>
      <w:bCs/>
    </w:rPr>
  </w:style>
  <w:style w:type="paragraph" w:customStyle="1" w:styleId="v1msonospacing">
    <w:name w:val="v1msonospacing"/>
    <w:basedOn w:val="Normal"/>
    <w:rsid w:val="00E0598F"/>
    <w:pP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lang w:val="pt-BR" w:eastAsia="pt-BR"/>
    </w:rPr>
  </w:style>
  <w:style w:type="paragraph" w:customStyle="1" w:styleId="chrome">
    <w:name w:val="chrome"/>
    <w:basedOn w:val="Normal"/>
    <w:rsid w:val="0017456C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val="es-AR" w:eastAsia="es-AR"/>
    </w:rPr>
  </w:style>
  <w:style w:type="paragraph" w:customStyle="1" w:styleId="bluelinksocial">
    <w:name w:val="bluelinksocial"/>
    <w:basedOn w:val="Normal"/>
    <w:rsid w:val="001F1952"/>
    <w:pPr>
      <w:spacing w:before="100" w:beforeAutospacing="1" w:after="100" w:afterAutospacing="1"/>
    </w:pPr>
    <w:rPr>
      <w:rFonts w:ascii="Calibri" w:eastAsiaTheme="minorEastAsia" w:hAnsi="Calibri" w:cs="Calibri"/>
      <w:color w:val="auto"/>
      <w:sz w:val="22"/>
      <w:lang w:val="es-AR" w:eastAsia="es-AR"/>
    </w:rPr>
  </w:style>
  <w:style w:type="table" w:styleId="Tabladelista5oscura-nfasis1">
    <w:name w:val="List Table 5 Dark Accent 1"/>
    <w:basedOn w:val="Tablanormal"/>
    <w:uiPriority w:val="50"/>
    <w:rsid w:val="001F1952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8910">
              <w:marLeft w:val="0"/>
              <w:marRight w:val="0"/>
              <w:marTop w:val="8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6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7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17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92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7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home.kpmg/ar/es/home.html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kpmg_argentin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home.kpmg/ar/es/home/media/press-releases.html" TargetMode="External"/><Relationship Id="rId25" Type="http://schemas.openxmlformats.org/officeDocument/2006/relationships/hyperlink" Target="http://www.youtube.com/kpmgargentin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negretewilliams@kpmg.com.ar" TargetMode="External"/><Relationship Id="rId20" Type="http://schemas.openxmlformats.org/officeDocument/2006/relationships/image" Target="media/image5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KPMGArgentina" TargetMode="External"/><Relationship Id="rId28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hyperlink" Target="https://www.linkedin.com/company/kpmg_argentina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hyperlink" Target="https://www.facebook.com/KPMGArgentina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olazzi\AppData\Local\Microsoft\Windows\Temporary%20Internet%20Files\Content.Outlook\PN47G8E3\Press%20Releas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C54CECBCC8BF4D90C6D52F4754C8BF" ma:contentTypeVersion="13" ma:contentTypeDescription="Create a new document." ma:contentTypeScope="" ma:versionID="1867d432134ac001e335e4fb6ea93359">
  <xsd:schema xmlns:xsd="http://www.w3.org/2001/XMLSchema" xmlns:xs="http://www.w3.org/2001/XMLSchema" xmlns:p="http://schemas.microsoft.com/office/2006/metadata/properties" xmlns:ns3="1246c579-7b11-46c5-8e64-70f4a395f505" xmlns:ns4="5bb014df-b26e-4791-88b2-8bb8c649518f" targetNamespace="http://schemas.microsoft.com/office/2006/metadata/properties" ma:root="true" ma:fieldsID="14e0ff15487748c6e84bc709e88d38eb" ns3:_="" ns4:_="">
    <xsd:import namespace="1246c579-7b11-46c5-8e64-70f4a395f505"/>
    <xsd:import namespace="5bb014df-b26e-4791-88b2-8bb8c64951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6c579-7b11-46c5-8e64-70f4a395f5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014df-b26e-4791-88b2-8bb8c649518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C7910D-83EF-42F2-A641-FC0A2731FF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BC07EB-5BC0-4A9D-B52F-4283CB665C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28A122-05B1-4FA4-9989-8CBD6CF6FD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FEA1141-8BAD-4B3A-9332-3D678A5820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6c579-7b11-46c5-8e64-70f4a395f505"/>
    <ds:schemaRef ds:uri="5bb014df-b26e-4791-88b2-8bb8c64951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(2)</Template>
  <TotalTime>0</TotalTime>
  <Pages>5</Pages>
  <Words>1345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8731</CharactersWithSpaces>
  <SharedDoc>false</SharedDoc>
  <HLinks>
    <vt:vector size="12" baseType="variant">
      <vt:variant>
        <vt:i4>5767234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http://www.twitter.com/kpmgargentina</vt:lpwstr>
      </vt:variant>
      <vt:variant>
        <vt:lpwstr/>
      </vt:variant>
      <vt:variant>
        <vt:i4>8126508</vt:i4>
      </vt:variant>
      <vt:variant>
        <vt:i4>0</vt:i4>
      </vt:variant>
      <vt:variant>
        <vt:i4>0</vt:i4>
      </vt:variant>
      <vt:variant>
        <vt:i4>5</vt:i4>
      </vt:variant>
      <vt:variant>
        <vt:lpwstr>http://www.kpmg.com/AR/es/foro-energia/enfoques/encuestas-vision-futuro/Paginas/energia-renovable.aspx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msolazzi</dc:creator>
  <cp:lastModifiedBy>Jose Luis Andrich</cp:lastModifiedBy>
  <cp:revision>2</cp:revision>
  <cp:lastPrinted>2012-02-24T14:42:00Z</cp:lastPrinted>
  <dcterms:created xsi:type="dcterms:W3CDTF">2024-02-07T10:54:00Z</dcterms:created>
  <dcterms:modified xsi:type="dcterms:W3CDTF">2024-02-07T10:54:00Z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0x010100AEC54CECBCC8BF4D90C6D52F4754C8BF</vt:lpwstr>
  </property>
</Properties>
</file>